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D639" w14:textId="77777777" w:rsidR="00A71F4D" w:rsidRDefault="003F2E89">
      <w:pPr>
        <w:spacing w:before="100" w:after="100"/>
        <w:jc w:val="both"/>
        <w:outlineLvl w:val="2"/>
        <w:rPr>
          <w:rFonts w:ascii="Times New Roman" w:eastAsia="Times New Roman" w:hAnsi="Times New Roman"/>
          <w:b/>
          <w:bCs/>
          <w:kern w:val="0"/>
          <w:sz w:val="27"/>
          <w:szCs w:val="27"/>
          <w:lang w:eastAsia="en-IN"/>
        </w:rPr>
      </w:pPr>
      <w:r>
        <w:rPr>
          <w:rFonts w:ascii="Times New Roman" w:eastAsia="Times New Roman" w:hAnsi="Times New Roman"/>
          <w:b/>
          <w:bCs/>
          <w:kern w:val="0"/>
          <w:sz w:val="27"/>
          <w:szCs w:val="27"/>
          <w:lang w:eastAsia="en-IN"/>
        </w:rPr>
        <w:t>Proposal for the intercomparison and evaluation of nowcasting products during WISER-EWSA Testbed 2</w:t>
      </w:r>
    </w:p>
    <w:p w14:paraId="0CB50ADF" w14:textId="77777777" w:rsidR="00A71F4D" w:rsidRDefault="003F2E89">
      <w:pPr>
        <w:spacing w:before="100" w:after="100"/>
        <w:jc w:val="both"/>
        <w:outlineLvl w:val="3"/>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1.Aims of the intercomparison</w:t>
      </w:r>
    </w:p>
    <w:p w14:paraId="186ECF67" w14:textId="77777777" w:rsidR="00A71F4D" w:rsidRDefault="003F2E89">
      <w:pPr>
        <w:pStyle w:val="ListParagraph"/>
        <w:numPr>
          <w:ilvl w:val="0"/>
          <w:numId w:val="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Document current capability for Africa, to inform operational application of the methods / products;</w:t>
      </w:r>
    </w:p>
    <w:p w14:paraId="6E175358" w14:textId="77777777" w:rsidR="00A71F4D" w:rsidRDefault="003F2E89">
      <w:pPr>
        <w:pStyle w:val="ListParagraph"/>
        <w:numPr>
          <w:ilvl w:val="0"/>
          <w:numId w:val="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Identify sources of error, e.g. challenging meteorological phenomena;</w:t>
      </w:r>
    </w:p>
    <w:p w14:paraId="0FE54843" w14:textId="77777777" w:rsidR="00A71F4D" w:rsidRDefault="003F2E89">
      <w:pPr>
        <w:pStyle w:val="ListParagraph"/>
        <w:numPr>
          <w:ilvl w:val="0"/>
          <w:numId w:val="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Provide evidence needed for model development in future, e.g. the most promising current approaches and the phenomena which need more attention;</w:t>
      </w:r>
    </w:p>
    <w:p w14:paraId="6A11FE64" w14:textId="77777777" w:rsidR="00A71F4D" w:rsidRDefault="003F2E89">
      <w:pPr>
        <w:pStyle w:val="ListParagraph"/>
        <w:numPr>
          <w:ilvl w:val="0"/>
          <w:numId w:val="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Provide recommendations for the evolution of African-owned systems.</w:t>
      </w:r>
    </w:p>
    <w:p w14:paraId="4F592A2E" w14:textId="77777777" w:rsidR="00A71F4D" w:rsidRDefault="00A71F4D">
      <w:pPr>
        <w:pStyle w:val="ListParagraph"/>
        <w:spacing w:before="100" w:after="100"/>
        <w:jc w:val="both"/>
        <w:outlineLvl w:val="3"/>
        <w:rPr>
          <w:rFonts w:ascii="Times New Roman" w:eastAsia="Times New Roman" w:hAnsi="Times New Roman"/>
          <w:kern w:val="0"/>
          <w:sz w:val="24"/>
          <w:szCs w:val="24"/>
          <w:lang w:eastAsia="en-IN"/>
        </w:rPr>
      </w:pPr>
    </w:p>
    <w:p w14:paraId="2AB3F71C" w14:textId="77777777" w:rsidR="00A71F4D" w:rsidRDefault="003F2E89">
      <w:pPr>
        <w:spacing w:before="100" w:after="100"/>
        <w:jc w:val="both"/>
        <w:outlineLvl w:val="3"/>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2. Organisation of the intercomparison</w:t>
      </w:r>
    </w:p>
    <w:p w14:paraId="551BC330" w14:textId="7682E9FB" w:rsidR="00A71F4D" w:rsidRDefault="003F2E89">
      <w:pPr>
        <w:spacing w:before="100" w:after="100"/>
        <w:jc w:val="both"/>
      </w:pPr>
      <w:r>
        <w:rPr>
          <w:rFonts w:ascii="Times New Roman" w:eastAsia="Times New Roman" w:hAnsi="Times New Roman"/>
          <w:b/>
          <w:bCs/>
          <w:kern w:val="0"/>
          <w:sz w:val="24"/>
          <w:szCs w:val="24"/>
          <w:lang w:eastAsia="en-IN"/>
        </w:rPr>
        <w:t>Coordination and Contacts:</w:t>
      </w:r>
      <w:r>
        <w:rPr>
          <w:rFonts w:ascii="Times New Roman" w:eastAsia="Times New Roman" w:hAnsi="Times New Roman"/>
          <w:kern w:val="0"/>
          <w:sz w:val="24"/>
          <w:szCs w:val="24"/>
          <w:lang w:eastAsia="en-IN"/>
        </w:rPr>
        <w:t xml:space="preserve"> The intercomparison initiative will be coordinated by Dr Abhilash Singh (a.singh4@leeds.ac.uk), with support from the AINPP Africa group. Collaborations will involve National Meteorological and Hydrological Services (NMHS) from the region, including Zambia Meteorological Department (ZMD) and South African Weather Service (SAWS), alongside international stakeholders providing nowcasting products. A centralised coordination mechanism will ensure streamlined communication, adherence to standards, and effective data sharing.</w:t>
      </w:r>
    </w:p>
    <w:p w14:paraId="251BF65C" w14:textId="77777777" w:rsidR="00A71F4D" w:rsidRDefault="003F2E89">
      <w:pPr>
        <w:spacing w:before="100" w:after="100"/>
        <w:jc w:val="both"/>
      </w:pPr>
      <w:r>
        <w:rPr>
          <w:rFonts w:ascii="Times New Roman" w:eastAsia="Times New Roman" w:hAnsi="Times New Roman"/>
          <w:b/>
          <w:bCs/>
          <w:kern w:val="0"/>
          <w:sz w:val="24"/>
          <w:szCs w:val="24"/>
          <w:lang w:eastAsia="en-IN"/>
        </w:rPr>
        <w:t>Dates:</w:t>
      </w:r>
      <w:r>
        <w:rPr>
          <w:rFonts w:ascii="Times New Roman" w:eastAsia="Times New Roman" w:hAnsi="Times New Roman"/>
          <w:kern w:val="0"/>
          <w:sz w:val="24"/>
          <w:szCs w:val="24"/>
          <w:lang w:eastAsia="en-IN"/>
        </w:rPr>
        <w:t xml:space="preserve"> The intercomparison activity will focus on Southern Africa and span 7 months, from October 2024 to April 2025. This timeline has been selected to coincide with the period of the WISER-EWSA testbed (https://www.wiser-ewsa.org/testbed/), which enables the use of local observations for verification, as well as narratives of weather impacts from the user engagement. The period includes seasonal variability and capture diverse weather patterns, ensuring a robust evaluation of nowcasting products.</w:t>
      </w:r>
    </w:p>
    <w:p w14:paraId="3CC6ECCE" w14:textId="77777777" w:rsidR="00A71F4D" w:rsidRDefault="003F2E89">
      <w:pPr>
        <w:spacing w:before="100" w:after="100"/>
        <w:jc w:val="both"/>
      </w:pPr>
      <w:r>
        <w:rPr>
          <w:rFonts w:ascii="Times New Roman" w:eastAsia="Times New Roman" w:hAnsi="Times New Roman"/>
          <w:b/>
          <w:bCs/>
          <w:kern w:val="0"/>
          <w:sz w:val="24"/>
          <w:szCs w:val="24"/>
          <w:lang w:eastAsia="en-IN"/>
        </w:rPr>
        <w:t>Deadline for submission of data:</w:t>
      </w:r>
      <w:r>
        <w:rPr>
          <w:rFonts w:ascii="Times New Roman" w:eastAsia="Times New Roman" w:hAnsi="Times New Roman"/>
          <w:kern w:val="0"/>
          <w:sz w:val="24"/>
          <w:szCs w:val="24"/>
          <w:lang w:eastAsia="en-IN"/>
        </w:rPr>
        <w:t xml:space="preserve"> All contributing organisations are required to submit their datasets by 31</w:t>
      </w:r>
      <w:r>
        <w:rPr>
          <w:rFonts w:ascii="Times New Roman" w:eastAsia="Times New Roman" w:hAnsi="Times New Roman"/>
          <w:kern w:val="0"/>
          <w:sz w:val="24"/>
          <w:szCs w:val="24"/>
          <w:vertAlign w:val="superscript"/>
          <w:lang w:eastAsia="en-IN"/>
        </w:rPr>
        <w:t>st</w:t>
      </w:r>
      <w:r>
        <w:rPr>
          <w:rFonts w:ascii="Times New Roman" w:eastAsia="Times New Roman" w:hAnsi="Times New Roman"/>
          <w:kern w:val="0"/>
          <w:sz w:val="24"/>
          <w:szCs w:val="24"/>
          <w:lang w:eastAsia="en-IN"/>
        </w:rPr>
        <w:t xml:space="preserve"> May 2025. This deadline provides sufficient time for the compilation and preliminary analysis of data before the final evaluation phase.</w:t>
      </w:r>
    </w:p>
    <w:p w14:paraId="36777C52" w14:textId="77777777" w:rsidR="00A71F4D" w:rsidRDefault="003F2E89">
      <w:pPr>
        <w:spacing w:before="100" w:after="100"/>
        <w:jc w:val="both"/>
      </w:pPr>
      <w:r>
        <w:rPr>
          <w:rFonts w:ascii="Times New Roman" w:eastAsia="Times New Roman" w:hAnsi="Times New Roman"/>
          <w:b/>
          <w:bCs/>
          <w:kern w:val="0"/>
          <w:sz w:val="24"/>
          <w:szCs w:val="24"/>
          <w:lang w:eastAsia="en-IN"/>
        </w:rPr>
        <w:t>Statement/Agreement of data submission principles:</w:t>
      </w:r>
      <w:r>
        <w:rPr>
          <w:rFonts w:ascii="Times New Roman" w:eastAsia="Times New Roman" w:hAnsi="Times New Roman"/>
          <w:kern w:val="0"/>
          <w:sz w:val="24"/>
          <w:szCs w:val="24"/>
          <w:lang w:eastAsia="en-IN"/>
        </w:rPr>
        <w:t xml:space="preserve"> </w:t>
      </w:r>
    </w:p>
    <w:p w14:paraId="20E91555" w14:textId="77777777" w:rsidR="00A71F4D" w:rsidRDefault="003F2E89">
      <w:pPr>
        <w:pStyle w:val="NormalWeb"/>
        <w:numPr>
          <w:ilvl w:val="0"/>
          <w:numId w:val="2"/>
        </w:numPr>
      </w:pPr>
      <w:r>
        <w:t>Ensure transparent and collaborative intercomparison of nowcasting products.</w:t>
      </w:r>
    </w:p>
    <w:p w14:paraId="28E4128E" w14:textId="77777777" w:rsidR="00A71F4D" w:rsidRDefault="003F2E89">
      <w:pPr>
        <w:pStyle w:val="NormalWeb"/>
        <w:numPr>
          <w:ilvl w:val="0"/>
          <w:numId w:val="2"/>
        </w:numPr>
      </w:pPr>
      <w:r>
        <w:t>Utilise standardised formats and methodologies for data submission and validation.</w:t>
      </w:r>
    </w:p>
    <w:p w14:paraId="50A89FA9" w14:textId="77777777" w:rsidR="00A71F4D" w:rsidRDefault="003F2E89">
      <w:pPr>
        <w:pStyle w:val="NormalWeb"/>
        <w:numPr>
          <w:ilvl w:val="0"/>
          <w:numId w:val="2"/>
        </w:numPr>
      </w:pPr>
      <w:r>
        <w:t>Share results for scientific advancement and operational improvement.</w:t>
      </w:r>
    </w:p>
    <w:p w14:paraId="7001FA92" w14:textId="77777777" w:rsidR="00A71F4D" w:rsidRDefault="003F2E89">
      <w:pPr>
        <w:spacing w:before="100" w:after="100"/>
        <w:jc w:val="both"/>
      </w:pPr>
      <w:r>
        <w:rPr>
          <w:rFonts w:ascii="Times New Roman" w:eastAsia="Times New Roman" w:hAnsi="Times New Roman"/>
          <w:b/>
          <w:bCs/>
          <w:kern w:val="0"/>
          <w:sz w:val="24"/>
          <w:szCs w:val="24"/>
          <w:lang w:eastAsia="en-IN"/>
        </w:rPr>
        <w:t>Plans for publication:</w:t>
      </w:r>
      <w:r>
        <w:rPr>
          <w:rFonts w:ascii="Times New Roman" w:eastAsia="Times New Roman" w:hAnsi="Times New Roman"/>
          <w:kern w:val="0"/>
          <w:sz w:val="24"/>
          <w:szCs w:val="24"/>
          <w:lang w:eastAsia="en-IN"/>
        </w:rPr>
        <w:t xml:space="preserve"> The outcomes of this intercomparison will be documented in a peer-reviewed publication, highlighting methodologies, key findings, and recommendations for operational application. The results will also be presented at relevant conferences (AGU, EGU, AMS, etc.) to share insights with the broader meteorological community. We will have the option to anonymise data in the published results.</w:t>
      </w:r>
    </w:p>
    <w:p w14:paraId="16F6ADA0" w14:textId="77777777" w:rsidR="00A71F4D" w:rsidRDefault="003F2E89">
      <w:pPr>
        <w:spacing w:before="100" w:after="100"/>
        <w:jc w:val="both"/>
      </w:pPr>
      <w:r>
        <w:rPr>
          <w:rFonts w:ascii="Times New Roman" w:eastAsia="Times New Roman" w:hAnsi="Times New Roman"/>
          <w:b/>
          <w:bCs/>
          <w:kern w:val="0"/>
          <w:sz w:val="24"/>
          <w:szCs w:val="24"/>
          <w:lang w:eastAsia="en-IN"/>
        </w:rPr>
        <w:t>Timeline</w:t>
      </w:r>
    </w:p>
    <w:tbl>
      <w:tblPr>
        <w:tblW w:w="5935" w:type="dxa"/>
        <w:jc w:val="center"/>
        <w:tblCellMar>
          <w:left w:w="10" w:type="dxa"/>
          <w:right w:w="10" w:type="dxa"/>
        </w:tblCellMar>
        <w:tblLook w:val="04A0" w:firstRow="1" w:lastRow="0" w:firstColumn="1" w:lastColumn="0" w:noHBand="0" w:noVBand="1"/>
      </w:tblPr>
      <w:tblGrid>
        <w:gridCol w:w="3454"/>
        <w:gridCol w:w="2481"/>
      </w:tblGrid>
      <w:tr w:rsidR="00A71F4D" w14:paraId="31C5AC9B" w14:textId="77777777">
        <w:trPr>
          <w:tblHeader/>
          <w:jc w:val="center"/>
        </w:trPr>
        <w:tc>
          <w:tcPr>
            <w:tcW w:w="3454" w:type="dxa"/>
            <w:tcBorders>
              <w:bottom w:val="single" w:sz="4" w:space="0" w:color="000000"/>
            </w:tcBorders>
            <w:shd w:val="clear" w:color="auto" w:fill="auto"/>
            <w:tcMar>
              <w:top w:w="15" w:type="dxa"/>
              <w:left w:w="15" w:type="dxa"/>
              <w:bottom w:w="15" w:type="dxa"/>
              <w:right w:w="15" w:type="dxa"/>
            </w:tcMar>
            <w:vAlign w:val="center"/>
          </w:tcPr>
          <w:p w14:paraId="106F8CE6" w14:textId="77777777" w:rsidR="00A71F4D" w:rsidRDefault="003F2E89">
            <w:pPr>
              <w:spacing w:after="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Milestone</w:t>
            </w:r>
          </w:p>
        </w:tc>
        <w:tc>
          <w:tcPr>
            <w:tcW w:w="2481" w:type="dxa"/>
            <w:tcBorders>
              <w:bottom w:val="single" w:sz="4" w:space="0" w:color="000000"/>
            </w:tcBorders>
            <w:shd w:val="clear" w:color="auto" w:fill="auto"/>
            <w:tcMar>
              <w:top w:w="15" w:type="dxa"/>
              <w:left w:w="15" w:type="dxa"/>
              <w:bottom w:w="15" w:type="dxa"/>
              <w:right w:w="15" w:type="dxa"/>
            </w:tcMar>
            <w:vAlign w:val="center"/>
          </w:tcPr>
          <w:p w14:paraId="227D08C2" w14:textId="77777777" w:rsidR="00A71F4D" w:rsidRDefault="003F2E89">
            <w:pPr>
              <w:spacing w:after="0"/>
              <w:jc w:val="both"/>
            </w:pPr>
            <w:r>
              <w:rPr>
                <w:rFonts w:ascii="Times New Roman" w:eastAsia="Times New Roman" w:hAnsi="Times New Roman"/>
                <w:b/>
                <w:bCs/>
                <w:kern w:val="0"/>
                <w:sz w:val="24"/>
                <w:szCs w:val="24"/>
                <w:lang w:eastAsia="en-IN"/>
              </w:rPr>
              <w:t>Date</w:t>
            </w:r>
          </w:p>
        </w:tc>
      </w:tr>
      <w:tr w:rsidR="00A71F4D" w14:paraId="53AE9DB7" w14:textId="77777777">
        <w:trPr>
          <w:jc w:val="center"/>
        </w:trPr>
        <w:tc>
          <w:tcPr>
            <w:tcW w:w="3454"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077B7DA5"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Kick-off and domain finalisation</w:t>
            </w:r>
          </w:p>
        </w:tc>
        <w:tc>
          <w:tcPr>
            <w:tcW w:w="2481"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278FD36C"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February 2025</w:t>
            </w:r>
          </w:p>
        </w:tc>
      </w:tr>
      <w:tr w:rsidR="00A71F4D" w14:paraId="4DC5C24B" w14:textId="77777777">
        <w:trPr>
          <w:jc w:val="center"/>
        </w:trPr>
        <w:tc>
          <w:tcPr>
            <w:tcW w:w="3454"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6CE55A42"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Intermediate analysis and feedback</w:t>
            </w:r>
          </w:p>
        </w:tc>
        <w:tc>
          <w:tcPr>
            <w:tcW w:w="2481"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35C47B95"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March-April 2025</w:t>
            </w:r>
          </w:p>
        </w:tc>
      </w:tr>
      <w:tr w:rsidR="00A71F4D" w14:paraId="19F4C443" w14:textId="77777777">
        <w:trPr>
          <w:jc w:val="center"/>
        </w:trPr>
        <w:tc>
          <w:tcPr>
            <w:tcW w:w="3454"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36BB95CE"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Data collection and submission</w:t>
            </w:r>
          </w:p>
        </w:tc>
        <w:tc>
          <w:tcPr>
            <w:tcW w:w="2481"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556EE284"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May 2025</w:t>
            </w:r>
          </w:p>
        </w:tc>
      </w:tr>
      <w:tr w:rsidR="00A71F4D" w14:paraId="4BABE57A" w14:textId="77777777">
        <w:trPr>
          <w:jc w:val="center"/>
        </w:trPr>
        <w:tc>
          <w:tcPr>
            <w:tcW w:w="3454"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5E19FDCD"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lastRenderedPageBreak/>
              <w:t>Analysis and evaluation</w:t>
            </w:r>
          </w:p>
        </w:tc>
        <w:tc>
          <w:tcPr>
            <w:tcW w:w="2481"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262A9BE8"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June-August 2025</w:t>
            </w:r>
          </w:p>
        </w:tc>
      </w:tr>
      <w:tr w:rsidR="00A71F4D" w14:paraId="35EE2086" w14:textId="77777777">
        <w:trPr>
          <w:jc w:val="center"/>
        </w:trPr>
        <w:tc>
          <w:tcPr>
            <w:tcW w:w="3454" w:type="dxa"/>
            <w:tcBorders>
              <w:top w:val="single" w:sz="4" w:space="0" w:color="000000"/>
            </w:tcBorders>
            <w:shd w:val="clear" w:color="auto" w:fill="auto"/>
            <w:tcMar>
              <w:top w:w="15" w:type="dxa"/>
              <w:left w:w="15" w:type="dxa"/>
              <w:bottom w:w="15" w:type="dxa"/>
              <w:right w:w="15" w:type="dxa"/>
            </w:tcMar>
            <w:vAlign w:val="center"/>
          </w:tcPr>
          <w:p w14:paraId="1C8F5D21"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Publication and presentation</w:t>
            </w:r>
          </w:p>
        </w:tc>
        <w:tc>
          <w:tcPr>
            <w:tcW w:w="2481" w:type="dxa"/>
            <w:tcBorders>
              <w:top w:val="single" w:sz="4" w:space="0" w:color="000000"/>
            </w:tcBorders>
            <w:shd w:val="clear" w:color="auto" w:fill="auto"/>
            <w:tcMar>
              <w:top w:w="15" w:type="dxa"/>
              <w:left w:w="15" w:type="dxa"/>
              <w:bottom w:w="15" w:type="dxa"/>
              <w:right w:w="15" w:type="dxa"/>
            </w:tcMar>
            <w:vAlign w:val="center"/>
          </w:tcPr>
          <w:p w14:paraId="42F46C5E"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September 2025</w:t>
            </w:r>
          </w:p>
        </w:tc>
      </w:tr>
    </w:tbl>
    <w:p w14:paraId="0B628E5F" w14:textId="77777777" w:rsidR="00A71F4D" w:rsidRDefault="003F2E89">
      <w:pPr>
        <w:spacing w:after="0"/>
        <w:jc w:val="both"/>
      </w:pPr>
      <w:r>
        <w:rPr>
          <w:rFonts w:ascii="Times New Roman" w:eastAsia="Times New Roman" w:hAnsi="Times New Roman"/>
          <w:noProof/>
          <w:kern w:val="0"/>
          <w:sz w:val="24"/>
          <w:szCs w:val="24"/>
          <w:lang w:eastAsia="en-IN"/>
        </w:rPr>
        <mc:AlternateContent>
          <mc:Choice Requires="wps">
            <w:drawing>
              <wp:inline distT="0" distB="0" distL="0" distR="0" wp14:anchorId="7233FC0A" wp14:editId="4F59070A">
                <wp:extent cx="41614728" cy="1271"/>
                <wp:effectExtent l="0" t="0" r="28572" b="36829"/>
                <wp:docPr id="1279180404" name="Horizontal Line 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EFDAC41" id="Horizontal Lin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EFC963F" w14:textId="77777777" w:rsidR="00A71F4D" w:rsidRDefault="003F2E89">
      <w:pPr>
        <w:spacing w:before="100" w:after="100"/>
        <w:jc w:val="both"/>
        <w:outlineLvl w:val="3"/>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2. Practical details</w:t>
      </w:r>
    </w:p>
    <w:p w14:paraId="1B1CD085" w14:textId="77777777" w:rsidR="00A71F4D" w:rsidRDefault="003F2E89">
      <w:pPr>
        <w:spacing w:before="100" w:after="100"/>
        <w:jc w:val="both"/>
      </w:pPr>
      <w:r>
        <w:rPr>
          <w:rFonts w:ascii="Times New Roman" w:eastAsia="Times New Roman" w:hAnsi="Times New Roman"/>
          <w:b/>
          <w:bCs/>
          <w:kern w:val="0"/>
          <w:sz w:val="24"/>
          <w:szCs w:val="24"/>
          <w:lang w:eastAsia="en-IN"/>
        </w:rPr>
        <w:t>Domains:</w:t>
      </w:r>
      <w:r>
        <w:rPr>
          <w:rFonts w:ascii="Times New Roman" w:eastAsia="Times New Roman" w:hAnsi="Times New Roman"/>
          <w:kern w:val="0"/>
          <w:sz w:val="24"/>
          <w:szCs w:val="24"/>
          <w:lang w:eastAsia="en-IN"/>
        </w:rPr>
        <w:t xml:space="preserve"> The geographical domain for this intercomparison will include Mozambique, Zambia, and South Africa. These regions have been chosen due to their diverse climatic conditions, availability of observational data, and alignment with the WISER-EWSA Testbed 2 objectives.</w:t>
      </w:r>
    </w:p>
    <w:p w14:paraId="3B784BCB" w14:textId="54AA26EF" w:rsidR="00A71F4D" w:rsidRDefault="003F2E89">
      <w:pPr>
        <w:spacing w:before="100" w:after="100"/>
        <w:jc w:val="both"/>
      </w:pPr>
      <w:r>
        <w:rPr>
          <w:rFonts w:ascii="Times New Roman" w:eastAsia="Times New Roman" w:hAnsi="Times New Roman"/>
          <w:b/>
          <w:bCs/>
          <w:kern w:val="0"/>
          <w:sz w:val="24"/>
          <w:szCs w:val="24"/>
          <w:lang w:eastAsia="en-IN"/>
        </w:rPr>
        <w:t>Format:</w:t>
      </w:r>
      <w:r>
        <w:rPr>
          <w:rFonts w:ascii="Times New Roman" w:eastAsia="Times New Roman" w:hAnsi="Times New Roman"/>
          <w:kern w:val="0"/>
          <w:sz w:val="24"/>
          <w:szCs w:val="24"/>
          <w:lang w:eastAsia="en-IN"/>
        </w:rPr>
        <w:t xml:space="preserve"> Contributing organisations will provide their datasets in NetCDF4 (preferred) or Zarr formats ensuring consistency and interoperability. These formats are widely recognised in the meteorological community for handling large datasets efficiently and supporting robust metadata structures.</w:t>
      </w:r>
    </w:p>
    <w:p w14:paraId="11007D8C" w14:textId="77777777" w:rsidR="00A71F4D" w:rsidRDefault="003F2E89">
      <w:pPr>
        <w:spacing w:before="100" w:after="100"/>
        <w:jc w:val="both"/>
      </w:pPr>
      <w:r>
        <w:rPr>
          <w:rFonts w:ascii="Times New Roman" w:eastAsia="Times New Roman" w:hAnsi="Times New Roman"/>
          <w:b/>
          <w:bCs/>
          <w:kern w:val="0"/>
          <w:sz w:val="24"/>
          <w:szCs w:val="24"/>
          <w:lang w:eastAsia="en-IN"/>
        </w:rPr>
        <w:t>Provenance:</w:t>
      </w:r>
      <w:r>
        <w:rPr>
          <w:rFonts w:ascii="Times New Roman" w:eastAsia="Times New Roman" w:hAnsi="Times New Roman"/>
          <w:kern w:val="0"/>
          <w:sz w:val="24"/>
          <w:szCs w:val="24"/>
          <w:lang w:eastAsia="en-IN"/>
        </w:rPr>
        <w:t xml:space="preserve"> Contributing organisations must provide sufficient information regarding their methodology for the interpretation of model differences to be useful.</w:t>
      </w:r>
    </w:p>
    <w:p w14:paraId="5ADD0C52" w14:textId="77777777" w:rsidR="00A71F4D" w:rsidRDefault="003F2E89">
      <w:pPr>
        <w:pStyle w:val="ListParagraph"/>
        <w:numPr>
          <w:ilvl w:val="0"/>
          <w:numId w:val="3"/>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Basic architecture, numbers of parameters in the model;</w:t>
      </w:r>
    </w:p>
    <w:p w14:paraId="6D2E82EC" w14:textId="77777777" w:rsidR="00A71F4D" w:rsidRDefault="003F2E89">
      <w:pPr>
        <w:pStyle w:val="ListParagraph"/>
        <w:numPr>
          <w:ilvl w:val="0"/>
          <w:numId w:val="3"/>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Full description of the training data used;</w:t>
      </w:r>
    </w:p>
    <w:p w14:paraId="2C618F79" w14:textId="77777777" w:rsidR="00A71F4D" w:rsidRDefault="003F2E89">
      <w:pPr>
        <w:pStyle w:val="ListParagraph"/>
        <w:numPr>
          <w:ilvl w:val="0"/>
          <w:numId w:val="3"/>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Capacity used for training;</w:t>
      </w:r>
    </w:p>
    <w:p w14:paraId="35C9D2A0" w14:textId="77777777" w:rsidR="00A71F4D" w:rsidRDefault="003F2E89">
      <w:pPr>
        <w:pStyle w:val="ListParagraph"/>
        <w:numPr>
          <w:ilvl w:val="0"/>
          <w:numId w:val="3"/>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Resources required to run the model; latency etc.</w:t>
      </w:r>
    </w:p>
    <w:p w14:paraId="1AA20A69" w14:textId="77777777" w:rsidR="00A71F4D" w:rsidRDefault="003F2E89">
      <w:pPr>
        <w:pStyle w:val="ListParagraph"/>
        <w:numPr>
          <w:ilvl w:val="0"/>
          <w:numId w:val="3"/>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Metadata for the product; frequency, resolution etc.</w:t>
      </w:r>
    </w:p>
    <w:p w14:paraId="55762028" w14:textId="326ECD75" w:rsidR="00A71F4D" w:rsidRDefault="003F2E89">
      <w:pPr>
        <w:pStyle w:val="ListParagraph"/>
        <w:numPr>
          <w:ilvl w:val="0"/>
          <w:numId w:val="3"/>
        </w:numPr>
        <w:suppressAutoHyphens w:val="0"/>
      </w:pPr>
      <w:r>
        <w:rPr>
          <w:rFonts w:ascii="Times New Roman" w:eastAsia="Times New Roman" w:hAnsi="Times New Roman"/>
          <w:kern w:val="0"/>
          <w:sz w:val="24"/>
          <w:szCs w:val="24"/>
          <w:lang w:eastAsia="en-IN"/>
        </w:rPr>
        <w:t>Some measure of “cost</w:t>
      </w:r>
      <w:proofErr w:type="gramStart"/>
      <w:r>
        <w:rPr>
          <w:rFonts w:ascii="Times New Roman" w:eastAsia="Times New Roman" w:hAnsi="Times New Roman"/>
          <w:kern w:val="0"/>
          <w:sz w:val="24"/>
          <w:szCs w:val="24"/>
          <w:lang w:eastAsia="en-IN"/>
        </w:rPr>
        <w:t>”,</w:t>
      </w:r>
      <w:proofErr w:type="gramEnd"/>
      <w:r>
        <w:rPr>
          <w:rFonts w:ascii="Times New Roman" w:eastAsia="Times New Roman" w:hAnsi="Times New Roman"/>
          <w:kern w:val="0"/>
          <w:sz w:val="24"/>
          <w:szCs w:val="24"/>
          <w:lang w:eastAsia="en-IN"/>
        </w:rPr>
        <w:t xml:space="preserve"> e.g. FLOPs or something </w:t>
      </w:r>
    </w:p>
    <w:p w14:paraId="2FBC7958" w14:textId="77777777" w:rsidR="00A71F4D" w:rsidRDefault="003F2E89">
      <w:pPr>
        <w:spacing w:before="100" w:after="100"/>
        <w:jc w:val="both"/>
      </w:pPr>
      <w:r>
        <w:rPr>
          <w:rFonts w:ascii="Times New Roman" w:eastAsia="Times New Roman" w:hAnsi="Times New Roman"/>
          <w:b/>
          <w:bCs/>
          <w:kern w:val="0"/>
          <w:sz w:val="24"/>
          <w:szCs w:val="24"/>
          <w:lang w:eastAsia="en-IN"/>
        </w:rPr>
        <w:t>Naming Conventions:</w:t>
      </w:r>
      <w:r>
        <w:rPr>
          <w:rFonts w:ascii="Times New Roman" w:eastAsia="Times New Roman" w:hAnsi="Times New Roman"/>
          <w:kern w:val="0"/>
          <w:sz w:val="24"/>
          <w:szCs w:val="24"/>
          <w:lang w:eastAsia="en-IN"/>
        </w:rPr>
        <w:t xml:space="preserve"> All data submitted for this intercomparison must adhere to the Climate and Forecast (CF) metadata conventions. File names should include essential information such as the product type, domain, and </w:t>
      </w:r>
      <w:proofErr w:type="gramStart"/>
      <w:r>
        <w:rPr>
          <w:rFonts w:ascii="Times New Roman" w:eastAsia="Times New Roman" w:hAnsi="Times New Roman"/>
          <w:kern w:val="0"/>
          <w:sz w:val="24"/>
          <w:szCs w:val="24"/>
          <w:lang w:eastAsia="en-IN"/>
        </w:rPr>
        <w:t>time period</w:t>
      </w:r>
      <w:proofErr w:type="gramEnd"/>
      <w:r>
        <w:rPr>
          <w:rFonts w:ascii="Times New Roman" w:eastAsia="Times New Roman" w:hAnsi="Times New Roman"/>
          <w:kern w:val="0"/>
          <w:sz w:val="24"/>
          <w:szCs w:val="24"/>
          <w:lang w:eastAsia="en-IN"/>
        </w:rPr>
        <w:t>, ensuring clarity and uniformity. For example, a rainfall dataset for Zambia for October 2024 could be named rainfall_Zambia_202410.nc. Following CF standards will facilitate seamless integration and analysis of datasets across all contributing organisations.</w:t>
      </w:r>
    </w:p>
    <w:p w14:paraId="6C880480" w14:textId="3DA14EF5" w:rsidR="00A71F4D" w:rsidRDefault="003F2E89">
      <w:pPr>
        <w:suppressAutoHyphens w:val="0"/>
      </w:pPr>
      <w:r>
        <w:rPr>
          <w:rFonts w:ascii="Times New Roman" w:eastAsia="Times New Roman" w:hAnsi="Times New Roman"/>
          <w:b/>
          <w:bCs/>
          <w:kern w:val="0"/>
          <w:sz w:val="24"/>
          <w:szCs w:val="24"/>
          <w:lang w:eastAsia="en-IN"/>
        </w:rPr>
        <w:t>Resolution:</w:t>
      </w:r>
      <w:r>
        <w:rPr>
          <w:rFonts w:ascii="Times New Roman" w:eastAsia="Times New Roman" w:hAnsi="Times New Roman"/>
          <w:kern w:val="0"/>
          <w:sz w:val="24"/>
          <w:szCs w:val="24"/>
          <w:lang w:eastAsia="en-IN"/>
        </w:rPr>
        <w:t xml:space="preserve"> Temporal resolutions will include forward projections at </w:t>
      </w:r>
      <w:proofErr w:type="gramStart"/>
      <w:r>
        <w:rPr>
          <w:rFonts w:ascii="Times New Roman" w:eastAsia="Times New Roman" w:hAnsi="Times New Roman"/>
          <w:kern w:val="0"/>
          <w:sz w:val="24"/>
          <w:szCs w:val="24"/>
          <w:lang w:eastAsia="en-IN"/>
        </w:rPr>
        <w:t>15 min</w:t>
      </w:r>
      <w:r w:rsidR="005D4844">
        <w:rPr>
          <w:rFonts w:ascii="Times New Roman" w:eastAsia="Times New Roman" w:hAnsi="Times New Roman"/>
          <w:kern w:val="0"/>
          <w:sz w:val="24"/>
          <w:szCs w:val="24"/>
          <w:lang w:eastAsia="en-IN"/>
        </w:rPr>
        <w:t>ute</w:t>
      </w:r>
      <w:proofErr w:type="gramEnd"/>
      <w:r>
        <w:rPr>
          <w:rFonts w:ascii="Times New Roman" w:eastAsia="Times New Roman" w:hAnsi="Times New Roman"/>
          <w:kern w:val="0"/>
          <w:sz w:val="24"/>
          <w:szCs w:val="24"/>
          <w:lang w:eastAsia="en-IN"/>
        </w:rPr>
        <w:t xml:space="preserve"> intervals till </w:t>
      </w:r>
      <w:r w:rsidR="005D4844">
        <w:rPr>
          <w:rFonts w:ascii="Times New Roman" w:eastAsia="Times New Roman" w:hAnsi="Times New Roman"/>
          <w:kern w:val="0"/>
          <w:sz w:val="24"/>
          <w:szCs w:val="24"/>
          <w:lang w:eastAsia="en-IN"/>
        </w:rPr>
        <w:t>6</w:t>
      </w:r>
      <w:r>
        <w:rPr>
          <w:rFonts w:ascii="Times New Roman" w:eastAsia="Times New Roman" w:hAnsi="Times New Roman"/>
          <w:kern w:val="0"/>
          <w:sz w:val="24"/>
          <w:szCs w:val="24"/>
          <w:lang w:eastAsia="en-IN"/>
        </w:rPr>
        <w:t xml:space="preserve"> hours to evaluate short-term nowcasting capabilities. Spatial resolutions will focus on fine-scale grids with resolutions of 0.1</w:t>
      </w:r>
      <w:r>
        <w:rPr>
          <w:rFonts w:ascii="Times New Roman" w:eastAsia="Times New Roman" w:hAnsi="Times New Roman"/>
          <w:kern w:val="0"/>
          <w:sz w:val="24"/>
          <w:szCs w:val="24"/>
          <w:vertAlign w:val="superscript"/>
          <w:lang w:eastAsia="en-IN"/>
        </w:rPr>
        <w:t>o</w:t>
      </w:r>
      <w:r>
        <w:rPr>
          <w:rFonts w:ascii="Times New Roman" w:eastAsia="Times New Roman" w:hAnsi="Times New Roman"/>
          <w:kern w:val="0"/>
          <w:sz w:val="24"/>
          <w:szCs w:val="24"/>
          <w:lang w:eastAsia="en-IN"/>
        </w:rPr>
        <w:t xml:space="preserve"> or finer, enabling detailed comparisons and validation.</w:t>
      </w:r>
    </w:p>
    <w:p w14:paraId="5812E03E" w14:textId="68BB7C07" w:rsidR="00A71F4D" w:rsidRDefault="003F2E89">
      <w:pPr>
        <w:spacing w:before="100" w:after="100"/>
        <w:jc w:val="both"/>
      </w:pPr>
      <w:r>
        <w:rPr>
          <w:rFonts w:ascii="Times New Roman" w:eastAsia="Times New Roman" w:hAnsi="Times New Roman"/>
          <w:b/>
          <w:bCs/>
          <w:kern w:val="0"/>
          <w:sz w:val="24"/>
          <w:szCs w:val="24"/>
          <w:lang w:eastAsia="en-IN"/>
        </w:rPr>
        <w:t>Latency:</w:t>
      </w:r>
      <w:r>
        <w:rPr>
          <w:rFonts w:ascii="Times New Roman" w:eastAsia="Times New Roman" w:hAnsi="Times New Roman"/>
          <w:kern w:val="0"/>
          <w:sz w:val="24"/>
          <w:szCs w:val="24"/>
          <w:lang w:eastAsia="en-IN"/>
        </w:rPr>
        <w:t xml:space="preserve"> It is a critical factor in the operational utility of nowcasting products, as it directly impacts their timeliness and relevance for decision-making. Factors influencing latency include data processing times, communication delays, and the computational efficiency of forecasting models. Contributing organisations will need to provide metrics on data processing and model inference times, as well as identify any bottlenecks that could hinder timely product delivery. Strategies to mitigate latency, such as optimi</w:t>
      </w:r>
      <w:r w:rsidR="000B7E5E">
        <w:rPr>
          <w:rFonts w:ascii="Times New Roman" w:eastAsia="Times New Roman" w:hAnsi="Times New Roman"/>
          <w:kern w:val="0"/>
          <w:sz w:val="24"/>
          <w:szCs w:val="24"/>
          <w:lang w:eastAsia="en-IN"/>
        </w:rPr>
        <w:t>s</w:t>
      </w:r>
      <w:r>
        <w:rPr>
          <w:rFonts w:ascii="Times New Roman" w:eastAsia="Times New Roman" w:hAnsi="Times New Roman"/>
          <w:kern w:val="0"/>
          <w:sz w:val="24"/>
          <w:szCs w:val="24"/>
          <w:lang w:eastAsia="en-IN"/>
        </w:rPr>
        <w:t xml:space="preserve">ing data pipelines and leveraging high-performance computing, should be explored. </w:t>
      </w:r>
    </w:p>
    <w:p w14:paraId="67317CCB" w14:textId="77777777" w:rsidR="00A71F4D" w:rsidRDefault="003F2E89">
      <w:pPr>
        <w:spacing w:after="0"/>
        <w:jc w:val="both"/>
      </w:pPr>
      <w:r>
        <w:rPr>
          <w:rFonts w:ascii="Times New Roman" w:eastAsia="Times New Roman" w:hAnsi="Times New Roman"/>
          <w:noProof/>
          <w:kern w:val="0"/>
          <w:sz w:val="24"/>
          <w:szCs w:val="24"/>
          <w:lang w:eastAsia="en-IN"/>
        </w:rPr>
        <mc:AlternateContent>
          <mc:Choice Requires="wps">
            <w:drawing>
              <wp:inline distT="0" distB="0" distL="0" distR="0" wp14:anchorId="256FEAC5" wp14:editId="518E3CC4">
                <wp:extent cx="41614728" cy="1271"/>
                <wp:effectExtent l="0" t="0" r="28572" b="36829"/>
                <wp:docPr id="523461003" name="Horizontal Line 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3CF5EA1" id="Horizontal Line 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08D6284" w14:textId="77777777" w:rsidR="00A71F4D" w:rsidRDefault="003F2E89">
      <w:pPr>
        <w:spacing w:before="100" w:after="100"/>
        <w:jc w:val="both"/>
        <w:outlineLvl w:val="3"/>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3. Validation data</w:t>
      </w:r>
    </w:p>
    <w:p w14:paraId="7B095BEF" w14:textId="41442F8D" w:rsidR="00A71F4D" w:rsidRDefault="003F2E89">
      <w:pPr>
        <w:suppressAutoHyphens w:val="0"/>
        <w:jc w:val="both"/>
      </w:pPr>
      <w:r>
        <w:rPr>
          <w:rFonts w:ascii="Times New Roman" w:eastAsia="Times New Roman" w:hAnsi="Times New Roman"/>
          <w:b/>
          <w:bCs/>
          <w:kern w:val="0"/>
          <w:sz w:val="24"/>
          <w:szCs w:val="24"/>
          <w:lang w:eastAsia="en-IN"/>
        </w:rPr>
        <w:t>Rainfall products:</w:t>
      </w:r>
      <w:r>
        <w:rPr>
          <w:rFonts w:ascii="Times New Roman" w:eastAsia="Times New Roman" w:hAnsi="Times New Roman"/>
          <w:kern w:val="0"/>
          <w:sz w:val="24"/>
          <w:szCs w:val="24"/>
          <w:lang w:eastAsia="en-IN"/>
        </w:rPr>
        <w:t xml:space="preserve"> The validation of rainfall nowcasting products will leverage AWS data from Zambia Meteorological Department (ZMD) (total 28 stations in good condition). </w:t>
      </w:r>
      <w:r w:rsidR="005D4844">
        <w:rPr>
          <w:rFonts w:ascii="Times New Roman" w:eastAsia="Times New Roman" w:hAnsi="Times New Roman"/>
          <w:kern w:val="0"/>
          <w:sz w:val="24"/>
          <w:szCs w:val="24"/>
          <w:lang w:eastAsia="en-IN"/>
        </w:rPr>
        <w:t xml:space="preserve">These data are available at </w:t>
      </w:r>
      <w:proofErr w:type="gramStart"/>
      <w:r w:rsidR="005D4844">
        <w:rPr>
          <w:rFonts w:ascii="Times New Roman" w:eastAsia="Times New Roman" w:hAnsi="Times New Roman"/>
          <w:kern w:val="0"/>
          <w:sz w:val="24"/>
          <w:szCs w:val="24"/>
          <w:lang w:eastAsia="en-IN"/>
        </w:rPr>
        <w:t>10 minute</w:t>
      </w:r>
      <w:proofErr w:type="gramEnd"/>
      <w:r w:rsidR="005D4844">
        <w:rPr>
          <w:rFonts w:ascii="Times New Roman" w:eastAsia="Times New Roman" w:hAnsi="Times New Roman"/>
          <w:kern w:val="0"/>
          <w:sz w:val="24"/>
          <w:szCs w:val="24"/>
          <w:lang w:eastAsia="en-IN"/>
        </w:rPr>
        <w:t xml:space="preserve"> intervals. </w:t>
      </w:r>
      <w:r>
        <w:rPr>
          <w:rFonts w:ascii="Times New Roman" w:eastAsia="Times New Roman" w:hAnsi="Times New Roman"/>
          <w:kern w:val="0"/>
          <w:sz w:val="24"/>
          <w:szCs w:val="24"/>
          <w:lang w:eastAsia="en-IN"/>
        </w:rPr>
        <w:t xml:space="preserve">Additionally, radar and AWS data from South African Weather Service (SAWS) (status: requested) will provide complementary validation sources, </w:t>
      </w:r>
      <w:r>
        <w:rPr>
          <w:rFonts w:ascii="Times New Roman" w:eastAsia="Times New Roman" w:hAnsi="Times New Roman"/>
          <w:kern w:val="0"/>
          <w:sz w:val="24"/>
          <w:szCs w:val="24"/>
          <w:lang w:eastAsia="en-IN"/>
        </w:rPr>
        <w:lastRenderedPageBreak/>
        <w:t>enhancing the robustness of the evaluation. The necessary metadata for product evaluation will be provided.</w:t>
      </w:r>
    </w:p>
    <w:p w14:paraId="3118D4F0" w14:textId="77777777" w:rsidR="00A71F4D" w:rsidRDefault="003F2E89">
      <w:pPr>
        <w:spacing w:before="100" w:after="100"/>
        <w:jc w:val="both"/>
      </w:pPr>
      <w:r>
        <w:rPr>
          <w:rFonts w:ascii="Times New Roman" w:eastAsia="Times New Roman" w:hAnsi="Times New Roman"/>
          <w:b/>
          <w:bCs/>
          <w:kern w:val="0"/>
          <w:sz w:val="24"/>
          <w:szCs w:val="24"/>
          <w:lang w:eastAsia="en-IN"/>
        </w:rPr>
        <w:t>Storm products:</w:t>
      </w:r>
      <w:r>
        <w:rPr>
          <w:rFonts w:ascii="Times New Roman" w:eastAsia="Times New Roman" w:hAnsi="Times New Roman"/>
          <w:kern w:val="0"/>
          <w:sz w:val="24"/>
          <w:szCs w:val="24"/>
          <w:lang w:eastAsia="en-IN"/>
        </w:rPr>
        <w:t xml:space="preserve"> Storm nowcasting products will be validated using lightning occurrence and flash density data as proxies for storm intensity. Severe rainfall events will also serve as a secondary validation metric, offering insights into the predictive accuracy of storm-related nowcasting products.</w:t>
      </w:r>
    </w:p>
    <w:p w14:paraId="20ADD16F" w14:textId="77777777" w:rsidR="00A71F4D" w:rsidRDefault="003F2E89">
      <w:pPr>
        <w:spacing w:before="100" w:after="100"/>
        <w:jc w:val="both"/>
        <w:outlineLvl w:val="3"/>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4. Performance metrics</w:t>
      </w:r>
    </w:p>
    <w:p w14:paraId="156C8B85" w14:textId="609F7E38" w:rsidR="00001C8A" w:rsidRDefault="00225063">
      <w:pPr>
        <w:pStyle w:val="NormalWeb"/>
        <w:jc w:val="both"/>
      </w:pPr>
      <w:r>
        <w:t>T</w:t>
      </w:r>
      <w:r w:rsidRPr="00225063">
        <w:t>o ensure a robust evaluation of forecast performance, a comprehensive suite of performance metrics will be employed across different scales and phenomena. Traditional dichotomous measures such as Probability of Detection (POD), False Alarm Ratio (FAR), and Critical Success Index (CSI) will be complemented by continuous metrics like Mean Absolute Error (MAE) and Root Mean Square Error (RMSE) to quantify overall accuracy. In addition, probabilistic forecasts will be rigorously assessed using the Continuous Ranked Probability Score (CRPS) and Brier Skill Score, alongside ROC curves and reliability diagrams, to evaluate forecast reliability and sharpness. Object-based metrics, including the Fractions Skill Score (FSS) and spatial verification techniques, will validate the spatial consistency of rainfall predictions and storm structures. Moreover, quantile-quantile mapping will be applied to ensure robust calibration of model outputs. Each participating centre will generate and share a standardized set of these statistical measures, with detailed protocols</w:t>
      </w:r>
      <w:r>
        <w:t xml:space="preserve"> </w:t>
      </w:r>
      <w:r w:rsidRPr="00225063">
        <w:t>such as sampling bins</w:t>
      </w:r>
      <w:r>
        <w:t xml:space="preserve"> (</w:t>
      </w:r>
      <w:r w:rsidRPr="00225063">
        <w:t>agreed upon in advance</w:t>
      </w:r>
      <w:r>
        <w:t>)</w:t>
      </w:r>
      <w:r w:rsidRPr="00225063">
        <w:t>. This collaborative approach will not only facilitate the plotting and comparison of results across centres but also encourage the sharing of code and methodologies, thereby enhancing the overall scientific rigour of the evaluation process.</w:t>
      </w:r>
    </w:p>
    <w:p w14:paraId="3A9C1F9E" w14:textId="77777777" w:rsidR="00A71F4D" w:rsidRDefault="00A71F4D">
      <w:pPr>
        <w:spacing w:before="100" w:after="100"/>
        <w:jc w:val="both"/>
        <w:outlineLvl w:val="3"/>
        <w:rPr>
          <w:rFonts w:ascii="Times New Roman" w:eastAsia="Times New Roman" w:hAnsi="Times New Roman"/>
          <w:b/>
          <w:bCs/>
          <w:kern w:val="0"/>
          <w:sz w:val="24"/>
          <w:szCs w:val="24"/>
          <w:lang w:eastAsia="en-IN"/>
        </w:rPr>
      </w:pPr>
    </w:p>
    <w:p w14:paraId="1275D302" w14:textId="77777777" w:rsidR="00A71F4D" w:rsidRDefault="003F2E89">
      <w:pPr>
        <w:spacing w:after="0"/>
        <w:jc w:val="both"/>
      </w:pPr>
      <w:r>
        <w:rPr>
          <w:rFonts w:ascii="Times New Roman" w:eastAsia="Times New Roman" w:hAnsi="Times New Roman"/>
          <w:noProof/>
          <w:kern w:val="0"/>
          <w:sz w:val="24"/>
          <w:szCs w:val="24"/>
          <w:lang w:eastAsia="en-IN"/>
        </w:rPr>
        <mc:AlternateContent>
          <mc:Choice Requires="wps">
            <w:drawing>
              <wp:inline distT="0" distB="0" distL="0" distR="0" wp14:anchorId="58BE03B1" wp14:editId="0CA08B00">
                <wp:extent cx="41614728" cy="1271"/>
                <wp:effectExtent l="0" t="0" r="28572" b="36829"/>
                <wp:docPr id="1955450112" name="Horizontal Line 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D3D8F50" id="Horizontal Lin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D2CA8B3" w14:textId="77777777" w:rsidR="00A71F4D" w:rsidRDefault="003F2E89">
      <w:pPr>
        <w:spacing w:before="100" w:after="100"/>
        <w:jc w:val="both"/>
        <w:outlineLvl w:val="3"/>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5. Methodology</w:t>
      </w:r>
    </w:p>
    <w:p w14:paraId="4550C4FA" w14:textId="2C1B11ED" w:rsidR="00A71F4D" w:rsidRDefault="0058451E">
      <w:pPr>
        <w:spacing w:before="100" w:after="100"/>
        <w:jc w:val="both"/>
      </w:pPr>
      <w:r>
        <w:rPr>
          <w:rFonts w:ascii="Times New Roman" w:eastAsia="Times New Roman" w:hAnsi="Times New Roman"/>
          <w:b/>
          <w:bCs/>
          <w:kern w:val="0"/>
          <w:sz w:val="24"/>
          <w:szCs w:val="24"/>
          <w:lang w:eastAsia="en-IN"/>
        </w:rPr>
        <w:t xml:space="preserve">5.1 </w:t>
      </w:r>
      <w:r w:rsidR="003F2E89">
        <w:rPr>
          <w:rFonts w:ascii="Times New Roman" w:eastAsia="Times New Roman" w:hAnsi="Times New Roman"/>
          <w:b/>
          <w:bCs/>
          <w:kern w:val="0"/>
          <w:sz w:val="24"/>
          <w:szCs w:val="24"/>
          <w:lang w:eastAsia="en-IN"/>
        </w:rPr>
        <w:t xml:space="preserve">Rainfall (retrievals and </w:t>
      </w:r>
      <w:proofErr w:type="gramStart"/>
      <w:r w:rsidR="003163B9">
        <w:rPr>
          <w:rFonts w:ascii="Times New Roman" w:eastAsia="Times New Roman" w:hAnsi="Times New Roman"/>
          <w:b/>
          <w:bCs/>
          <w:kern w:val="0"/>
          <w:sz w:val="24"/>
          <w:szCs w:val="24"/>
          <w:lang w:eastAsia="en-IN"/>
        </w:rPr>
        <w:t>15 minute</w:t>
      </w:r>
      <w:proofErr w:type="gramEnd"/>
      <w:r w:rsidR="003163B9">
        <w:rPr>
          <w:rFonts w:ascii="Times New Roman" w:eastAsia="Times New Roman" w:hAnsi="Times New Roman"/>
          <w:b/>
          <w:bCs/>
          <w:kern w:val="0"/>
          <w:sz w:val="24"/>
          <w:szCs w:val="24"/>
          <w:lang w:eastAsia="en-IN"/>
        </w:rPr>
        <w:t xml:space="preserve"> </w:t>
      </w:r>
      <w:r w:rsidR="003F2E89">
        <w:rPr>
          <w:rFonts w:ascii="Times New Roman" w:eastAsia="Times New Roman" w:hAnsi="Times New Roman"/>
          <w:b/>
          <w:bCs/>
          <w:kern w:val="0"/>
          <w:sz w:val="24"/>
          <w:szCs w:val="24"/>
          <w:lang w:eastAsia="en-IN"/>
        </w:rPr>
        <w:t>forward projections till 6 hrs)</w:t>
      </w:r>
    </w:p>
    <w:p w14:paraId="1D908141" w14:textId="3BC0E698" w:rsidR="003163B9" w:rsidRPr="00CF77AA" w:rsidRDefault="003163B9">
      <w:pPr>
        <w:numPr>
          <w:ilvl w:val="0"/>
          <w:numId w:val="4"/>
        </w:numPr>
        <w:spacing w:before="100" w:after="100"/>
        <w:jc w:val="both"/>
      </w:pPr>
      <w:r>
        <w:t>Deterministic retrieval and prediction of rainfall amount to compare with gauges.</w:t>
      </w:r>
    </w:p>
    <w:p w14:paraId="46A17E84" w14:textId="17BC90BB" w:rsidR="00A71F4D" w:rsidRDefault="003F2E89">
      <w:pPr>
        <w:numPr>
          <w:ilvl w:val="0"/>
          <w:numId w:val="4"/>
        </w:numPr>
        <w:spacing w:before="100" w:after="100"/>
        <w:jc w:val="both"/>
      </w:pPr>
      <w:r>
        <w:rPr>
          <w:rFonts w:ascii="Times New Roman" w:eastAsia="Times New Roman" w:hAnsi="Times New Roman"/>
          <w:b/>
          <w:bCs/>
          <w:kern w:val="0"/>
          <w:sz w:val="24"/>
          <w:szCs w:val="24"/>
          <w:lang w:eastAsia="en-IN"/>
        </w:rPr>
        <w:t xml:space="preserve">Probability of rainfall exceeding a threshold (1mm, </w:t>
      </w:r>
      <w:r w:rsidR="003163B9">
        <w:rPr>
          <w:rFonts w:ascii="Times New Roman" w:eastAsia="Times New Roman" w:hAnsi="Times New Roman"/>
          <w:b/>
          <w:bCs/>
          <w:kern w:val="0"/>
          <w:sz w:val="24"/>
          <w:szCs w:val="24"/>
          <w:lang w:eastAsia="en-IN"/>
        </w:rPr>
        <w:t xml:space="preserve">5mm, </w:t>
      </w:r>
      <w:r>
        <w:rPr>
          <w:rFonts w:ascii="Times New Roman" w:eastAsia="Times New Roman" w:hAnsi="Times New Roman"/>
          <w:b/>
          <w:bCs/>
          <w:kern w:val="0"/>
          <w:sz w:val="24"/>
          <w:szCs w:val="24"/>
          <w:lang w:eastAsia="en-IN"/>
        </w:rPr>
        <w:t>10mm, 30mm)</w:t>
      </w:r>
      <w:r>
        <w:rPr>
          <w:rFonts w:ascii="Times New Roman" w:eastAsia="Times New Roman" w:hAnsi="Times New Roman"/>
          <w:kern w:val="0"/>
          <w:sz w:val="24"/>
          <w:szCs w:val="24"/>
          <w:lang w:eastAsia="en-IN"/>
        </w:rPr>
        <w:t xml:space="preserve">: </w:t>
      </w:r>
      <w:r w:rsidR="003163B9">
        <w:rPr>
          <w:rFonts w:ascii="Times New Roman" w:eastAsia="Times New Roman" w:hAnsi="Times New Roman"/>
          <w:kern w:val="0"/>
          <w:sz w:val="24"/>
          <w:szCs w:val="24"/>
          <w:lang w:eastAsia="en-IN"/>
        </w:rPr>
        <w:t>Retrieval and prediction p</w:t>
      </w:r>
      <w:r>
        <w:rPr>
          <w:rFonts w:ascii="Times New Roman" w:eastAsia="Times New Roman" w:hAnsi="Times New Roman"/>
          <w:kern w:val="0"/>
          <w:sz w:val="24"/>
          <w:szCs w:val="24"/>
          <w:lang w:eastAsia="en-IN"/>
        </w:rPr>
        <w:t>roducts will be evaluated for their ability to predict the likelihood of rainfall exceeding defined thresholds, critical for flood risk assessments.</w:t>
      </w:r>
    </w:p>
    <w:p w14:paraId="3C7F63AC" w14:textId="014AA27A" w:rsidR="00A71F4D" w:rsidRDefault="003163B9">
      <w:pPr>
        <w:numPr>
          <w:ilvl w:val="0"/>
          <w:numId w:val="4"/>
        </w:numPr>
        <w:spacing w:before="100" w:after="100"/>
        <w:jc w:val="both"/>
      </w:pPr>
      <w:r>
        <w:rPr>
          <w:rFonts w:ascii="Times New Roman" w:eastAsia="Times New Roman" w:hAnsi="Times New Roman"/>
          <w:b/>
          <w:bCs/>
          <w:kern w:val="0"/>
          <w:sz w:val="24"/>
          <w:szCs w:val="24"/>
          <w:lang w:eastAsia="en-IN"/>
        </w:rPr>
        <w:t>Gridded evaluation of forward projection against its own retrieval</w:t>
      </w:r>
      <w:r w:rsidR="00BB5240">
        <w:rPr>
          <w:rFonts w:ascii="Times New Roman" w:eastAsia="Times New Roman" w:hAnsi="Times New Roman"/>
          <w:b/>
          <w:bCs/>
          <w:kern w:val="0"/>
          <w:sz w:val="24"/>
          <w:szCs w:val="24"/>
          <w:lang w:eastAsia="en-IN"/>
        </w:rPr>
        <w:t xml:space="preserve"> and satellite radar &amp; </w:t>
      </w:r>
      <w:proofErr w:type="gramStart"/>
      <w:r w:rsidR="00BB5240">
        <w:rPr>
          <w:rFonts w:ascii="Times New Roman" w:eastAsia="Times New Roman" w:hAnsi="Times New Roman"/>
          <w:b/>
          <w:bCs/>
          <w:kern w:val="0"/>
          <w:sz w:val="24"/>
          <w:szCs w:val="24"/>
          <w:lang w:eastAsia="en-IN"/>
        </w:rPr>
        <w:t>microwave based</w:t>
      </w:r>
      <w:proofErr w:type="gramEnd"/>
      <w:r w:rsidR="00BB5240">
        <w:rPr>
          <w:rFonts w:ascii="Times New Roman" w:eastAsia="Times New Roman" w:hAnsi="Times New Roman"/>
          <w:b/>
          <w:bCs/>
          <w:kern w:val="0"/>
          <w:sz w:val="24"/>
          <w:szCs w:val="24"/>
          <w:lang w:eastAsia="en-IN"/>
        </w:rPr>
        <w:t xml:space="preserve"> retrieval</w:t>
      </w:r>
      <w:r>
        <w:rPr>
          <w:rFonts w:ascii="Times New Roman" w:eastAsia="Times New Roman" w:hAnsi="Times New Roman"/>
          <w:b/>
          <w:bCs/>
          <w:kern w:val="0"/>
          <w:sz w:val="24"/>
          <w:szCs w:val="24"/>
          <w:lang w:eastAsia="en-IN"/>
        </w:rPr>
        <w:t>:</w:t>
      </w:r>
      <w:r w:rsidR="003F2E89">
        <w:rPr>
          <w:lang w:val="en-GB"/>
        </w:rPr>
        <w:t xml:space="preserve"> </w:t>
      </w:r>
      <w:r w:rsidR="003F2E89">
        <w:rPr>
          <w:rFonts w:ascii="Times New Roman" w:eastAsia="Times New Roman" w:hAnsi="Times New Roman"/>
          <w:kern w:val="0"/>
          <w:sz w:val="24"/>
          <w:szCs w:val="24"/>
          <w:lang w:eastAsia="en-IN"/>
        </w:rPr>
        <w:t>Nowcast skill vs lead time of various gridded products vs their own T+0 “retrieval”. Intercomparison of gridded rainfall products against “truth” retrievals on common grid of retrievals (</w:t>
      </w:r>
      <w:r w:rsidR="00831544">
        <w:rPr>
          <w:rFonts w:ascii="Times New Roman" w:eastAsia="Times New Roman" w:hAnsi="Times New Roman"/>
          <w:kern w:val="0"/>
          <w:sz w:val="24"/>
          <w:szCs w:val="24"/>
          <w:lang w:eastAsia="en-IN"/>
        </w:rPr>
        <w:t xml:space="preserve">such as </w:t>
      </w:r>
      <w:r w:rsidR="003F2E89">
        <w:rPr>
          <w:rFonts w:ascii="Times New Roman" w:eastAsia="Times New Roman" w:hAnsi="Times New Roman"/>
          <w:kern w:val="0"/>
          <w:sz w:val="24"/>
          <w:szCs w:val="24"/>
          <w:lang w:eastAsia="en-IN"/>
        </w:rPr>
        <w:t xml:space="preserve">GPM IMERG HQ), and as a function of lead time. </w:t>
      </w:r>
    </w:p>
    <w:p w14:paraId="100A4892" w14:textId="77777777" w:rsidR="00BB5240" w:rsidRDefault="003F2E89">
      <w:pPr>
        <w:spacing w:before="100" w:after="100"/>
        <w:ind w:left="72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The spatial evaluation component of the intercomparison aims to assess how well nowcasting products reproduce observed precipitation patterns across different regions. Each centre should conduct spatial evaluations against a set of standard reference datasets, such as GPM IMERG-HQ, to ensure consistency. A critical challenge in spatial verification is avoiding simplistic evaluations where models are ranked solely based on numerical scores without deeper insights into their strengths and weaknesses.</w:t>
      </w:r>
    </w:p>
    <w:p w14:paraId="7E1F8F87" w14:textId="0A9D1B7C" w:rsidR="00A71F4D" w:rsidRDefault="003F2E89" w:rsidP="00CF77AA">
      <w:pPr>
        <w:spacing w:before="100" w:after="100"/>
        <w:ind w:left="720"/>
        <w:jc w:val="both"/>
      </w:pPr>
      <w:r>
        <w:rPr>
          <w:rFonts w:ascii="Times New Roman" w:eastAsia="Times New Roman" w:hAnsi="Times New Roman"/>
          <w:kern w:val="0"/>
          <w:sz w:val="24"/>
          <w:szCs w:val="24"/>
          <w:lang w:eastAsia="en-IN"/>
        </w:rPr>
        <w:t xml:space="preserve">To add value, spatial evaluation should focus on diagnosing key meteorological challenges, such as the diurnal cycle, warm-rain processes, and convective storm structures. Hence, the methodology links evaluation metrics to specific forecast challenges, ensuring that model performance assessments are meaningful and actionable. Additionally, a common grid for satellite data is proposed to facilitate direct </w:t>
      </w:r>
      <w:r>
        <w:rPr>
          <w:rFonts w:ascii="Times New Roman" w:eastAsia="Times New Roman" w:hAnsi="Times New Roman"/>
          <w:kern w:val="0"/>
          <w:sz w:val="24"/>
          <w:szCs w:val="24"/>
          <w:lang w:eastAsia="en-IN"/>
        </w:rPr>
        <w:lastRenderedPageBreak/>
        <w:t xml:space="preserve">comparisons, with participating centres responsible for </w:t>
      </w:r>
      <w:proofErr w:type="spellStart"/>
      <w:r>
        <w:rPr>
          <w:rFonts w:ascii="Times New Roman" w:eastAsia="Times New Roman" w:hAnsi="Times New Roman"/>
          <w:kern w:val="0"/>
          <w:sz w:val="24"/>
          <w:szCs w:val="24"/>
          <w:lang w:eastAsia="en-IN"/>
        </w:rPr>
        <w:t>regridding</w:t>
      </w:r>
      <w:proofErr w:type="spellEnd"/>
      <w:r>
        <w:rPr>
          <w:rFonts w:ascii="Times New Roman" w:eastAsia="Times New Roman" w:hAnsi="Times New Roman"/>
          <w:kern w:val="0"/>
          <w:sz w:val="24"/>
          <w:szCs w:val="24"/>
          <w:lang w:eastAsia="en-IN"/>
        </w:rPr>
        <w:t xml:space="preserve"> their datasets accordingly</w:t>
      </w:r>
    </w:p>
    <w:p w14:paraId="417232E0" w14:textId="5BA8EC01" w:rsidR="00A71F4D" w:rsidRDefault="0058451E">
      <w:pPr>
        <w:spacing w:before="100" w:after="100"/>
        <w:jc w:val="both"/>
      </w:pPr>
      <w:r>
        <w:rPr>
          <w:rFonts w:ascii="Times New Roman" w:eastAsia="Times New Roman" w:hAnsi="Times New Roman"/>
          <w:b/>
          <w:bCs/>
          <w:kern w:val="0"/>
          <w:sz w:val="24"/>
          <w:szCs w:val="24"/>
          <w:lang w:eastAsia="en-IN"/>
        </w:rPr>
        <w:t xml:space="preserve">5.2 </w:t>
      </w:r>
      <w:r w:rsidR="003F2E89">
        <w:rPr>
          <w:rFonts w:ascii="Times New Roman" w:eastAsia="Times New Roman" w:hAnsi="Times New Roman"/>
          <w:b/>
          <w:bCs/>
          <w:kern w:val="0"/>
          <w:sz w:val="24"/>
          <w:szCs w:val="24"/>
          <w:lang w:eastAsia="en-IN"/>
        </w:rPr>
        <w:t>Storms</w:t>
      </w:r>
    </w:p>
    <w:p w14:paraId="6AF6BEAB" w14:textId="77777777" w:rsidR="00983F2A" w:rsidRDefault="00983F2A">
      <w:pPr>
        <w:spacing w:before="100" w:after="100"/>
        <w:jc w:val="both"/>
        <w:rPr>
          <w:rFonts w:ascii="Times New Roman" w:eastAsia="Times New Roman" w:hAnsi="Times New Roman"/>
          <w:kern w:val="0"/>
          <w:sz w:val="24"/>
          <w:szCs w:val="24"/>
          <w:lang w:eastAsia="en-IN"/>
        </w:rPr>
      </w:pPr>
      <w:r w:rsidRPr="00983F2A">
        <w:rPr>
          <w:rFonts w:ascii="Times New Roman" w:eastAsia="Times New Roman" w:hAnsi="Times New Roman"/>
          <w:kern w:val="0"/>
          <w:sz w:val="24"/>
          <w:szCs w:val="24"/>
          <w:lang w:eastAsia="en-IN"/>
        </w:rPr>
        <w:t xml:space="preserve">Storm events will be categorised based on two key meteorological indicators: lightning intensity and severe rainfall occurrences. This dual-parameter approach aims to refine early warning capabilities by capturing both the electrical and hydrological impacts of storms. The details are as follows: </w:t>
      </w:r>
    </w:p>
    <w:p w14:paraId="6C876C63" w14:textId="3E2020E8" w:rsidR="000031F1" w:rsidRPr="000031F1" w:rsidRDefault="000031F1" w:rsidP="000031F1">
      <w:pPr>
        <w:spacing w:before="100" w:after="100"/>
        <w:jc w:val="both"/>
        <w:rPr>
          <w:rFonts w:ascii="Times New Roman" w:eastAsia="Times New Roman" w:hAnsi="Times New Roman"/>
          <w:b/>
          <w:bCs/>
          <w:kern w:val="0"/>
          <w:sz w:val="24"/>
          <w:szCs w:val="24"/>
          <w:lang w:eastAsia="en-IN"/>
        </w:rPr>
      </w:pPr>
      <w:r w:rsidRPr="000031F1">
        <w:rPr>
          <w:rFonts w:ascii="Times New Roman" w:eastAsia="Times New Roman" w:hAnsi="Times New Roman"/>
          <w:b/>
          <w:bCs/>
          <w:kern w:val="0"/>
          <w:sz w:val="24"/>
          <w:szCs w:val="24"/>
          <w:lang w:eastAsia="en-IN"/>
        </w:rPr>
        <w:t>5.2.1 Lightning Intensity</w:t>
      </w:r>
    </w:p>
    <w:p w14:paraId="4FCB43C1" w14:textId="02036059" w:rsidR="000031F1" w:rsidRPr="000031F1" w:rsidRDefault="000031F1" w:rsidP="000031F1">
      <w:pPr>
        <w:spacing w:before="100" w:after="100"/>
        <w:jc w:val="both"/>
        <w:rPr>
          <w:rFonts w:ascii="Times New Roman" w:eastAsia="Times New Roman" w:hAnsi="Times New Roman"/>
          <w:kern w:val="0"/>
          <w:sz w:val="24"/>
          <w:szCs w:val="24"/>
          <w:lang w:eastAsia="en-IN"/>
        </w:rPr>
      </w:pPr>
      <w:r w:rsidRPr="000031F1">
        <w:rPr>
          <w:rFonts w:ascii="Times New Roman" w:eastAsia="Times New Roman" w:hAnsi="Times New Roman"/>
          <w:b/>
          <w:bCs/>
          <w:kern w:val="0"/>
          <w:sz w:val="24"/>
          <w:szCs w:val="24"/>
          <w:lang w:eastAsia="en-IN"/>
        </w:rPr>
        <w:t>Measurement:</w:t>
      </w:r>
      <w:r w:rsidRPr="000031F1">
        <w:rPr>
          <w:rFonts w:ascii="Times New Roman" w:eastAsia="Times New Roman" w:hAnsi="Times New Roman"/>
          <w:kern w:val="0"/>
          <w:sz w:val="24"/>
          <w:szCs w:val="24"/>
          <w:lang w:eastAsia="en-IN"/>
        </w:rPr>
        <w:t xml:space="preserve"> Lightning activity will be quantified using high-resolution lightning flash rate data (e.g., flashes per minute per square </w:t>
      </w:r>
      <w:proofErr w:type="spellStart"/>
      <w:r w:rsidRPr="000031F1">
        <w:rPr>
          <w:rFonts w:ascii="Times New Roman" w:eastAsia="Times New Roman" w:hAnsi="Times New Roman"/>
          <w:kern w:val="0"/>
          <w:sz w:val="24"/>
          <w:szCs w:val="24"/>
          <w:lang w:eastAsia="en-IN"/>
        </w:rPr>
        <w:t>kilometer</w:t>
      </w:r>
      <w:proofErr w:type="spellEnd"/>
      <w:r w:rsidRPr="000031F1">
        <w:rPr>
          <w:rFonts w:ascii="Times New Roman" w:eastAsia="Times New Roman" w:hAnsi="Times New Roman"/>
          <w:kern w:val="0"/>
          <w:sz w:val="24"/>
          <w:szCs w:val="24"/>
          <w:lang w:eastAsia="en-IN"/>
        </w:rPr>
        <w:t xml:space="preserve">). This data is primarily sourced from </w:t>
      </w:r>
      <w:r>
        <w:rPr>
          <w:rFonts w:ascii="Times New Roman" w:eastAsia="Times New Roman" w:hAnsi="Times New Roman"/>
          <w:kern w:val="0"/>
          <w:sz w:val="24"/>
          <w:szCs w:val="24"/>
          <w:lang w:eastAsia="en-IN"/>
        </w:rPr>
        <w:t xml:space="preserve">MTG </w:t>
      </w:r>
      <w:r w:rsidRPr="000031F1">
        <w:rPr>
          <w:rFonts w:ascii="Times New Roman" w:eastAsia="Times New Roman" w:hAnsi="Times New Roman"/>
          <w:kern w:val="0"/>
          <w:sz w:val="24"/>
          <w:szCs w:val="24"/>
          <w:lang w:eastAsia="en-IN"/>
        </w:rPr>
        <w:t xml:space="preserve">Lightning Imager. </w:t>
      </w:r>
    </w:p>
    <w:p w14:paraId="5F295FA4" w14:textId="79D6C8C5" w:rsidR="000031F1" w:rsidRDefault="000031F1" w:rsidP="000031F1">
      <w:pPr>
        <w:spacing w:before="100" w:after="100"/>
        <w:jc w:val="both"/>
        <w:rPr>
          <w:rFonts w:ascii="Times New Roman" w:eastAsia="Times New Roman" w:hAnsi="Times New Roman"/>
          <w:kern w:val="0"/>
          <w:sz w:val="24"/>
          <w:szCs w:val="24"/>
          <w:lang w:eastAsia="en-IN"/>
        </w:rPr>
      </w:pPr>
      <w:r w:rsidRPr="000031F1">
        <w:rPr>
          <w:rFonts w:ascii="Times New Roman" w:eastAsia="Times New Roman" w:hAnsi="Times New Roman"/>
          <w:b/>
          <w:bCs/>
          <w:kern w:val="0"/>
          <w:sz w:val="24"/>
          <w:szCs w:val="24"/>
          <w:lang w:eastAsia="en-IN"/>
        </w:rPr>
        <w:t>Categories:</w:t>
      </w:r>
      <w:r w:rsidRPr="000031F1">
        <w:rPr>
          <w:rFonts w:ascii="Times New Roman" w:eastAsia="Times New Roman" w:hAnsi="Times New Roman"/>
          <w:kern w:val="0"/>
          <w:sz w:val="24"/>
          <w:szCs w:val="24"/>
          <w:lang w:eastAsia="en-IN"/>
        </w:rPr>
        <w:t xml:space="preserve"> It will be categorised into three categories. For instance, low intensity is defined by flash rates that remain below the baseline threshold, signifying only sporadic lightning activity. Moderate intensity occurs when flash rates exceed this baseline yet do not reach the levels typically observed in severe convective storms. In contrast, high intensity is characterized by significantly elevated flash rates, which reflect robust convective activity and suggest a high likelihood of severe storm development.</w:t>
      </w:r>
    </w:p>
    <w:p w14:paraId="1826E64D" w14:textId="47DFF70F" w:rsidR="000031F1" w:rsidRDefault="000031F1" w:rsidP="000031F1">
      <w:pPr>
        <w:spacing w:before="100" w:after="100"/>
        <w:jc w:val="both"/>
        <w:rPr>
          <w:rFonts w:ascii="Times New Roman" w:eastAsia="Times New Roman" w:hAnsi="Times New Roman"/>
          <w:b/>
          <w:bCs/>
          <w:kern w:val="0"/>
          <w:sz w:val="24"/>
          <w:szCs w:val="24"/>
          <w:lang w:eastAsia="en-IN"/>
        </w:rPr>
      </w:pPr>
      <w:r w:rsidRPr="000031F1">
        <w:rPr>
          <w:rFonts w:ascii="Times New Roman" w:eastAsia="Times New Roman" w:hAnsi="Times New Roman"/>
          <w:b/>
          <w:bCs/>
          <w:kern w:val="0"/>
          <w:sz w:val="24"/>
          <w:szCs w:val="24"/>
          <w:lang w:eastAsia="en-IN"/>
        </w:rPr>
        <w:t>5.2.2</w:t>
      </w:r>
      <w:r w:rsidR="00695EEB">
        <w:rPr>
          <w:rFonts w:ascii="Times New Roman" w:eastAsia="Times New Roman" w:hAnsi="Times New Roman"/>
          <w:b/>
          <w:bCs/>
          <w:kern w:val="0"/>
          <w:sz w:val="24"/>
          <w:szCs w:val="24"/>
          <w:lang w:eastAsia="en-IN"/>
        </w:rPr>
        <w:t xml:space="preserve"> </w:t>
      </w:r>
      <w:r w:rsidR="00695EEB" w:rsidRPr="00695EEB">
        <w:rPr>
          <w:rFonts w:ascii="Times New Roman" w:eastAsia="Times New Roman" w:hAnsi="Times New Roman"/>
          <w:b/>
          <w:bCs/>
          <w:kern w:val="0"/>
          <w:sz w:val="24"/>
          <w:szCs w:val="24"/>
          <w:lang w:eastAsia="en-IN"/>
        </w:rPr>
        <w:t xml:space="preserve">Severe </w:t>
      </w:r>
      <w:r w:rsidR="00695EEB">
        <w:rPr>
          <w:rFonts w:ascii="Times New Roman" w:eastAsia="Times New Roman" w:hAnsi="Times New Roman"/>
          <w:b/>
          <w:bCs/>
          <w:kern w:val="0"/>
          <w:sz w:val="24"/>
          <w:szCs w:val="24"/>
          <w:lang w:eastAsia="en-IN"/>
        </w:rPr>
        <w:t>r</w:t>
      </w:r>
      <w:r w:rsidR="00695EEB" w:rsidRPr="00695EEB">
        <w:rPr>
          <w:rFonts w:ascii="Times New Roman" w:eastAsia="Times New Roman" w:hAnsi="Times New Roman"/>
          <w:b/>
          <w:bCs/>
          <w:kern w:val="0"/>
          <w:sz w:val="24"/>
          <w:szCs w:val="24"/>
          <w:lang w:eastAsia="en-IN"/>
        </w:rPr>
        <w:t xml:space="preserve">ainfall </w:t>
      </w:r>
      <w:r w:rsidR="00695EEB">
        <w:rPr>
          <w:rFonts w:ascii="Times New Roman" w:eastAsia="Times New Roman" w:hAnsi="Times New Roman"/>
          <w:b/>
          <w:bCs/>
          <w:kern w:val="0"/>
          <w:sz w:val="24"/>
          <w:szCs w:val="24"/>
          <w:lang w:eastAsia="en-IN"/>
        </w:rPr>
        <w:t>o</w:t>
      </w:r>
      <w:r w:rsidR="00695EEB" w:rsidRPr="00695EEB">
        <w:rPr>
          <w:rFonts w:ascii="Times New Roman" w:eastAsia="Times New Roman" w:hAnsi="Times New Roman"/>
          <w:b/>
          <w:bCs/>
          <w:kern w:val="0"/>
          <w:sz w:val="24"/>
          <w:szCs w:val="24"/>
          <w:lang w:eastAsia="en-IN"/>
        </w:rPr>
        <w:t>ccurrences</w:t>
      </w:r>
    </w:p>
    <w:p w14:paraId="6332A4B8" w14:textId="282C4C99" w:rsidR="00695EEB" w:rsidRDefault="00695EEB" w:rsidP="000031F1">
      <w:pPr>
        <w:spacing w:before="100" w:after="100"/>
        <w:jc w:val="both"/>
        <w:rPr>
          <w:rFonts w:ascii="Times New Roman" w:eastAsia="Times New Roman" w:hAnsi="Times New Roman"/>
          <w:kern w:val="0"/>
          <w:sz w:val="24"/>
          <w:szCs w:val="24"/>
          <w:lang w:eastAsia="en-IN"/>
        </w:rPr>
      </w:pPr>
      <w:r w:rsidRPr="00695EEB">
        <w:rPr>
          <w:rFonts w:ascii="Times New Roman" w:eastAsia="Times New Roman" w:hAnsi="Times New Roman"/>
          <w:kern w:val="0"/>
          <w:sz w:val="24"/>
          <w:szCs w:val="24"/>
          <w:lang w:eastAsia="en-IN"/>
        </w:rPr>
        <w:t xml:space="preserve">Rainfall intensity will be assessed using a </w:t>
      </w:r>
      <w:r>
        <w:rPr>
          <w:rFonts w:ascii="Times New Roman" w:eastAsia="Times New Roman" w:hAnsi="Times New Roman"/>
          <w:kern w:val="0"/>
          <w:sz w:val="24"/>
          <w:szCs w:val="24"/>
          <w:lang w:eastAsia="en-IN"/>
        </w:rPr>
        <w:t>GPM IMERG HQ</w:t>
      </w:r>
      <w:r w:rsidRPr="00695EEB">
        <w:rPr>
          <w:rFonts w:ascii="Times New Roman" w:eastAsia="Times New Roman" w:hAnsi="Times New Roman"/>
          <w:kern w:val="0"/>
          <w:sz w:val="24"/>
          <w:szCs w:val="24"/>
          <w:lang w:eastAsia="en-IN"/>
        </w:rPr>
        <w:t xml:space="preserve">, with measurements expressed in </w:t>
      </w:r>
      <w:proofErr w:type="spellStart"/>
      <w:r w:rsidRPr="00695EEB">
        <w:rPr>
          <w:rFonts w:ascii="Times New Roman" w:eastAsia="Times New Roman" w:hAnsi="Times New Roman"/>
          <w:kern w:val="0"/>
          <w:sz w:val="24"/>
          <w:szCs w:val="24"/>
          <w:lang w:eastAsia="en-IN"/>
        </w:rPr>
        <w:t>millimeters</w:t>
      </w:r>
      <w:proofErr w:type="spellEnd"/>
      <w:r w:rsidRPr="00695EEB">
        <w:rPr>
          <w:rFonts w:ascii="Times New Roman" w:eastAsia="Times New Roman" w:hAnsi="Times New Roman"/>
          <w:kern w:val="0"/>
          <w:sz w:val="24"/>
          <w:szCs w:val="24"/>
          <w:lang w:eastAsia="en-IN"/>
        </w:rPr>
        <w:t xml:space="preserve"> per hour. Rainfall events will be classified based on their intensity, with moderate rainfall defined as rates that exceed the regional average yet remain below a severe threshold, while severe rainfall is characterized by rates that exceed this threshold</w:t>
      </w:r>
      <w:r>
        <w:rPr>
          <w:rFonts w:ascii="Times New Roman" w:eastAsia="Times New Roman" w:hAnsi="Times New Roman"/>
          <w:kern w:val="0"/>
          <w:sz w:val="24"/>
          <w:szCs w:val="24"/>
          <w:lang w:eastAsia="en-IN"/>
        </w:rPr>
        <w:t xml:space="preserve"> </w:t>
      </w:r>
      <w:r w:rsidRPr="00695EEB">
        <w:rPr>
          <w:rFonts w:ascii="Times New Roman" w:eastAsia="Times New Roman" w:hAnsi="Times New Roman"/>
          <w:kern w:val="0"/>
          <w:sz w:val="24"/>
          <w:szCs w:val="24"/>
          <w:lang w:eastAsia="en-IN"/>
        </w:rPr>
        <w:t xml:space="preserve">potentially leading to flash flooding and significant hydrological impacts. </w:t>
      </w:r>
    </w:p>
    <w:p w14:paraId="38E05F8A" w14:textId="3D2A9E96" w:rsidR="00695EEB" w:rsidRPr="00695EEB" w:rsidRDefault="00695EEB" w:rsidP="000031F1">
      <w:p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Finally, a</w:t>
      </w:r>
      <w:r w:rsidRPr="00695EEB">
        <w:rPr>
          <w:rFonts w:ascii="Times New Roman" w:eastAsia="Times New Roman" w:hAnsi="Times New Roman"/>
          <w:kern w:val="0"/>
          <w:sz w:val="24"/>
          <w:szCs w:val="24"/>
          <w:lang w:eastAsia="en-IN"/>
        </w:rPr>
        <w:t xml:space="preserve"> severity index will be assigned to each storm event by integrating both lightning intensity and rainfall rate. For example, events with both high flash rates and severe rainfall will be flagged as high-impact storm events.</w:t>
      </w:r>
    </w:p>
    <w:p w14:paraId="4DBAE27E" w14:textId="260A0F39" w:rsidR="00C60F17" w:rsidRDefault="00C60F17">
      <w:pPr>
        <w:spacing w:before="100" w:after="10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Comparison with NWP</w:t>
      </w:r>
    </w:p>
    <w:p w14:paraId="6B0E28FA" w14:textId="4B0E866A" w:rsidR="00C60F17" w:rsidRPr="00E5698E" w:rsidRDefault="00C60F17">
      <w:p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 xml:space="preserve">It will be </w:t>
      </w:r>
      <w:proofErr w:type="gramStart"/>
      <w:r>
        <w:rPr>
          <w:rFonts w:ascii="Times New Roman" w:eastAsia="Times New Roman" w:hAnsi="Times New Roman"/>
          <w:kern w:val="0"/>
          <w:sz w:val="24"/>
          <w:szCs w:val="24"/>
          <w:lang w:eastAsia="en-IN"/>
        </w:rPr>
        <w:t>really good</w:t>
      </w:r>
      <w:proofErr w:type="gramEnd"/>
      <w:r>
        <w:rPr>
          <w:rFonts w:ascii="Times New Roman" w:eastAsia="Times New Roman" w:hAnsi="Times New Roman"/>
          <w:kern w:val="0"/>
          <w:sz w:val="24"/>
          <w:szCs w:val="24"/>
          <w:lang w:eastAsia="en-IN"/>
        </w:rPr>
        <w:t xml:space="preserve"> if we can add some comparisons from 1-day NWP forecasts for the same periods. HRES, ECMWF or something.</w:t>
      </w:r>
    </w:p>
    <w:p w14:paraId="5E3372FB" w14:textId="24404BB5" w:rsidR="00A71F4D" w:rsidRPr="00E5698E" w:rsidRDefault="0058451E">
      <w:pPr>
        <w:spacing w:before="100" w:after="10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 xml:space="preserve">5.3 </w:t>
      </w:r>
      <w:r w:rsidR="003F2E89" w:rsidRPr="00E5698E">
        <w:rPr>
          <w:rFonts w:ascii="Times New Roman" w:eastAsia="Times New Roman" w:hAnsi="Times New Roman"/>
          <w:b/>
          <w:bCs/>
          <w:kern w:val="0"/>
          <w:sz w:val="24"/>
          <w:szCs w:val="24"/>
          <w:lang w:eastAsia="en-IN"/>
        </w:rPr>
        <w:t>Case studies</w:t>
      </w:r>
    </w:p>
    <w:p w14:paraId="76CEDE06" w14:textId="77777777" w:rsidR="00A71F4D" w:rsidRDefault="003F2E89">
      <w:pPr>
        <w:pStyle w:val="ListParagraph"/>
        <w:numPr>
          <w:ilvl w:val="1"/>
          <w:numId w:val="5"/>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 xml:space="preserve">Supply maps of products for stated domains and the whole </w:t>
      </w:r>
      <w:proofErr w:type="gramStart"/>
      <w:r>
        <w:rPr>
          <w:rFonts w:ascii="Times New Roman" w:eastAsia="Times New Roman" w:hAnsi="Times New Roman"/>
          <w:kern w:val="0"/>
          <w:sz w:val="24"/>
          <w:szCs w:val="24"/>
          <w:lang w:eastAsia="en-IN"/>
        </w:rPr>
        <w:t>time period</w:t>
      </w:r>
      <w:proofErr w:type="gramEnd"/>
      <w:r>
        <w:rPr>
          <w:rFonts w:ascii="Times New Roman" w:eastAsia="Times New Roman" w:hAnsi="Times New Roman"/>
          <w:kern w:val="0"/>
          <w:sz w:val="24"/>
          <w:szCs w:val="24"/>
          <w:lang w:eastAsia="en-IN"/>
        </w:rPr>
        <w:t xml:space="preserve">. </w:t>
      </w:r>
    </w:p>
    <w:p w14:paraId="79287A05" w14:textId="77777777" w:rsidR="00A71F4D" w:rsidRDefault="003F2E89">
      <w:pPr>
        <w:pStyle w:val="ListParagraph"/>
        <w:numPr>
          <w:ilvl w:val="1"/>
          <w:numId w:val="5"/>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We later define the case studies and compare the maps.</w:t>
      </w:r>
    </w:p>
    <w:p w14:paraId="0B738E25" w14:textId="2698B987" w:rsidR="00C60F17" w:rsidRDefault="00C60F17">
      <w:pPr>
        <w:spacing w:before="100" w:after="10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6. Outputs</w:t>
      </w:r>
    </w:p>
    <w:p w14:paraId="09FA5266" w14:textId="0030AAA2" w:rsidR="00C60F17" w:rsidRDefault="00C60F17">
      <w:pPr>
        <w:spacing w:before="100" w:after="10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Key outputs to meet our aims</w:t>
      </w:r>
    </w:p>
    <w:tbl>
      <w:tblPr>
        <w:tblStyle w:val="TableGrid"/>
        <w:tblW w:w="0" w:type="auto"/>
        <w:tblLook w:val="04A0" w:firstRow="1" w:lastRow="0" w:firstColumn="1" w:lastColumn="0" w:noHBand="0" w:noVBand="1"/>
      </w:tblPr>
      <w:tblGrid>
        <w:gridCol w:w="4508"/>
        <w:gridCol w:w="4508"/>
      </w:tblGrid>
      <w:tr w:rsidR="003F2E89" w14:paraId="73E4A4C1" w14:textId="77777777" w:rsidTr="003F2E89">
        <w:tc>
          <w:tcPr>
            <w:tcW w:w="4508" w:type="dxa"/>
          </w:tcPr>
          <w:p w14:paraId="50777A8E" w14:textId="556E1F84" w:rsidR="003F2E89" w:rsidRPr="009A584D" w:rsidRDefault="003F2E89" w:rsidP="003F2E89">
            <w:pPr>
              <w:spacing w:before="100" w:after="10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Aim</w:t>
            </w:r>
          </w:p>
        </w:tc>
        <w:tc>
          <w:tcPr>
            <w:tcW w:w="4508" w:type="dxa"/>
          </w:tcPr>
          <w:p w14:paraId="12A58B7B" w14:textId="068E7271" w:rsidR="003F2E89" w:rsidRDefault="003F2E89">
            <w:pPr>
              <w:spacing w:before="100" w:after="10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Outputs</w:t>
            </w:r>
          </w:p>
        </w:tc>
      </w:tr>
      <w:tr w:rsidR="003F2E89" w14:paraId="16AC32E1" w14:textId="77777777" w:rsidTr="003F2E89">
        <w:tc>
          <w:tcPr>
            <w:tcW w:w="4508" w:type="dxa"/>
          </w:tcPr>
          <w:p w14:paraId="0891C263" w14:textId="77777777" w:rsidR="003F2E89" w:rsidRDefault="003F2E89" w:rsidP="003F2E89">
            <w:pPr>
              <w:pStyle w:val="ListParagraph"/>
              <w:numPr>
                <w:ilvl w:val="0"/>
                <w:numId w:val="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Document current capability for Africa, to inform operational application of the methods / products;</w:t>
            </w:r>
          </w:p>
          <w:p w14:paraId="25916D5C" w14:textId="77777777" w:rsidR="003F2E89" w:rsidRDefault="003F2E89" w:rsidP="003F2E89">
            <w:pPr>
              <w:spacing w:before="100" w:after="100"/>
              <w:jc w:val="both"/>
              <w:rPr>
                <w:rFonts w:ascii="Times New Roman" w:eastAsia="Times New Roman" w:hAnsi="Times New Roman"/>
                <w:b/>
                <w:bCs/>
                <w:kern w:val="0"/>
                <w:sz w:val="24"/>
                <w:szCs w:val="24"/>
                <w:lang w:eastAsia="en-IN"/>
              </w:rPr>
            </w:pPr>
          </w:p>
        </w:tc>
        <w:tc>
          <w:tcPr>
            <w:tcW w:w="4508" w:type="dxa"/>
          </w:tcPr>
          <w:p w14:paraId="45B09F96" w14:textId="4E19C399" w:rsidR="003F2E89" w:rsidRPr="009A584D" w:rsidRDefault="003F2E89" w:rsidP="003F2E89">
            <w:pPr>
              <w:pStyle w:val="ListParagraph"/>
              <w:numPr>
                <w:ilvl w:val="0"/>
                <w:numId w:val="1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 xml:space="preserve">Graphs showing absolute measures of skill against observations, and relative to daily NWP, for </w:t>
            </w:r>
            <w:r w:rsidRPr="009A584D">
              <w:rPr>
                <w:rFonts w:ascii="Times New Roman" w:eastAsia="Times New Roman" w:hAnsi="Times New Roman"/>
                <w:kern w:val="0"/>
                <w:sz w:val="24"/>
                <w:szCs w:val="24"/>
                <w:lang w:eastAsia="en-IN"/>
              </w:rPr>
              <w:t>a range of approaches.</w:t>
            </w:r>
          </w:p>
          <w:p w14:paraId="571D35F7" w14:textId="6FD24ED4" w:rsidR="003F2E89" w:rsidRPr="009A584D" w:rsidRDefault="003F2E89" w:rsidP="00E542AA">
            <w:pPr>
              <w:pStyle w:val="ListParagraph"/>
              <w:numPr>
                <w:ilvl w:val="0"/>
                <w:numId w:val="1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Different measures appropriate to different applications.</w:t>
            </w:r>
          </w:p>
        </w:tc>
      </w:tr>
      <w:tr w:rsidR="003F2E89" w14:paraId="478ACB67" w14:textId="77777777" w:rsidTr="003F2E89">
        <w:tc>
          <w:tcPr>
            <w:tcW w:w="4508" w:type="dxa"/>
          </w:tcPr>
          <w:p w14:paraId="5ADAF2A8" w14:textId="77777777" w:rsidR="003F2E89" w:rsidRDefault="003F2E89" w:rsidP="003F2E89">
            <w:pPr>
              <w:pStyle w:val="ListParagraph"/>
              <w:numPr>
                <w:ilvl w:val="0"/>
                <w:numId w:val="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lastRenderedPageBreak/>
              <w:t>Identify sources of error, e.g. challenging meteorological phenomena;</w:t>
            </w:r>
          </w:p>
          <w:p w14:paraId="672895A9" w14:textId="77777777" w:rsidR="003F2E89" w:rsidRDefault="003F2E89" w:rsidP="003F2E89">
            <w:pPr>
              <w:spacing w:before="100" w:after="100"/>
              <w:jc w:val="both"/>
              <w:rPr>
                <w:rFonts w:ascii="Times New Roman" w:eastAsia="Times New Roman" w:hAnsi="Times New Roman"/>
                <w:b/>
                <w:bCs/>
                <w:kern w:val="0"/>
                <w:sz w:val="24"/>
                <w:szCs w:val="24"/>
                <w:lang w:eastAsia="en-IN"/>
              </w:rPr>
            </w:pPr>
          </w:p>
        </w:tc>
        <w:tc>
          <w:tcPr>
            <w:tcW w:w="4508" w:type="dxa"/>
          </w:tcPr>
          <w:p w14:paraId="3DCDD282" w14:textId="77777777" w:rsidR="003F2E89" w:rsidRDefault="003F2E89" w:rsidP="003F2E89">
            <w:pPr>
              <w:pStyle w:val="ListParagraph"/>
              <w:numPr>
                <w:ilvl w:val="0"/>
                <w:numId w:val="12"/>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Filtering analysis according to time of day, warm rain, rapid development etc.</w:t>
            </w:r>
          </w:p>
          <w:p w14:paraId="1B026FE1" w14:textId="6E3F1FA8" w:rsidR="003F2E89" w:rsidRPr="009A584D" w:rsidRDefault="003F2E89" w:rsidP="00E542AA">
            <w:pPr>
              <w:pStyle w:val="ListParagraph"/>
              <w:numPr>
                <w:ilvl w:val="0"/>
                <w:numId w:val="12"/>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Statistical measures highlighting extremes etc.</w:t>
            </w:r>
          </w:p>
        </w:tc>
      </w:tr>
      <w:tr w:rsidR="003F2E89" w14:paraId="404A0E5D" w14:textId="77777777" w:rsidTr="003F2E89">
        <w:tc>
          <w:tcPr>
            <w:tcW w:w="4508" w:type="dxa"/>
          </w:tcPr>
          <w:p w14:paraId="1C9BF4B2" w14:textId="77777777" w:rsidR="003F2E89" w:rsidRDefault="003F2E89" w:rsidP="003F2E89">
            <w:pPr>
              <w:pStyle w:val="ListParagraph"/>
              <w:numPr>
                <w:ilvl w:val="0"/>
                <w:numId w:val="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Provide evidence needed for model development in future, e.g. the most promising current approaches and the phenomena which need more attention;</w:t>
            </w:r>
          </w:p>
          <w:p w14:paraId="32A9FEE4" w14:textId="77777777" w:rsidR="003F2E89" w:rsidRDefault="003F2E89" w:rsidP="003F2E89">
            <w:pPr>
              <w:spacing w:before="100" w:after="100"/>
              <w:jc w:val="both"/>
              <w:rPr>
                <w:rFonts w:ascii="Times New Roman" w:eastAsia="Times New Roman" w:hAnsi="Times New Roman"/>
                <w:b/>
                <w:bCs/>
                <w:kern w:val="0"/>
                <w:sz w:val="24"/>
                <w:szCs w:val="24"/>
                <w:lang w:eastAsia="en-IN"/>
              </w:rPr>
            </w:pPr>
          </w:p>
        </w:tc>
        <w:tc>
          <w:tcPr>
            <w:tcW w:w="4508" w:type="dxa"/>
          </w:tcPr>
          <w:p w14:paraId="3EA44DD1" w14:textId="27764A88" w:rsidR="003F2E89" w:rsidRPr="009A584D" w:rsidRDefault="003F2E89" w:rsidP="00E542AA">
            <w:pPr>
              <w:pStyle w:val="ListParagraph"/>
              <w:numPr>
                <w:ilvl w:val="0"/>
                <w:numId w:val="13"/>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Attempt to relate the results to the configuration of different systems.</w:t>
            </w:r>
          </w:p>
        </w:tc>
      </w:tr>
      <w:tr w:rsidR="003F2E89" w14:paraId="27C366F4" w14:textId="77777777" w:rsidTr="003F2E89">
        <w:tc>
          <w:tcPr>
            <w:tcW w:w="4508" w:type="dxa"/>
          </w:tcPr>
          <w:p w14:paraId="26070617" w14:textId="77777777" w:rsidR="003F2E89" w:rsidRDefault="003F2E89" w:rsidP="003F2E89">
            <w:pPr>
              <w:pStyle w:val="ListParagraph"/>
              <w:numPr>
                <w:ilvl w:val="0"/>
                <w:numId w:val="1"/>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Provide recommendations for the evolution of African-owned systems.</w:t>
            </w:r>
          </w:p>
          <w:p w14:paraId="7415CB8A" w14:textId="77777777" w:rsidR="003F2E89" w:rsidRDefault="003F2E89" w:rsidP="003F2E89">
            <w:pPr>
              <w:spacing w:before="100" w:after="100"/>
              <w:jc w:val="both"/>
              <w:rPr>
                <w:rFonts w:ascii="Times New Roman" w:eastAsia="Times New Roman" w:hAnsi="Times New Roman"/>
                <w:b/>
                <w:bCs/>
                <w:kern w:val="0"/>
                <w:sz w:val="24"/>
                <w:szCs w:val="24"/>
                <w:lang w:eastAsia="en-IN"/>
              </w:rPr>
            </w:pPr>
          </w:p>
        </w:tc>
        <w:tc>
          <w:tcPr>
            <w:tcW w:w="4508" w:type="dxa"/>
          </w:tcPr>
          <w:p w14:paraId="032E7176" w14:textId="629BF003" w:rsidR="003F2E89" w:rsidRPr="009A584D" w:rsidRDefault="003F2E89" w:rsidP="00E542AA">
            <w:pPr>
              <w:pStyle w:val="ListParagraph"/>
              <w:numPr>
                <w:ilvl w:val="0"/>
                <w:numId w:val="13"/>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First r</w:t>
            </w:r>
            <w:r w:rsidRPr="00E542AA">
              <w:rPr>
                <w:rFonts w:ascii="Times New Roman" w:eastAsia="Times New Roman" w:hAnsi="Times New Roman"/>
                <w:kern w:val="0"/>
                <w:sz w:val="24"/>
                <w:szCs w:val="24"/>
                <w:lang w:eastAsia="en-IN"/>
              </w:rPr>
              <w:t xml:space="preserve">eview </w:t>
            </w:r>
            <w:r>
              <w:rPr>
                <w:rFonts w:ascii="Times New Roman" w:eastAsia="Times New Roman" w:hAnsi="Times New Roman"/>
                <w:kern w:val="0"/>
                <w:sz w:val="24"/>
                <w:szCs w:val="24"/>
                <w:lang w:eastAsia="en-IN"/>
              </w:rPr>
              <w:t xml:space="preserve">(discussion) </w:t>
            </w:r>
            <w:r w:rsidRPr="009A584D">
              <w:rPr>
                <w:rFonts w:ascii="Times New Roman" w:eastAsia="Times New Roman" w:hAnsi="Times New Roman"/>
                <w:kern w:val="0"/>
                <w:sz w:val="24"/>
                <w:szCs w:val="24"/>
                <w:lang w:eastAsia="en-IN"/>
              </w:rPr>
              <w:t xml:space="preserve">of </w:t>
            </w:r>
            <w:r>
              <w:rPr>
                <w:rFonts w:ascii="Times New Roman" w:eastAsia="Times New Roman" w:hAnsi="Times New Roman"/>
                <w:kern w:val="0"/>
                <w:sz w:val="24"/>
                <w:szCs w:val="24"/>
                <w:lang w:eastAsia="en-IN"/>
              </w:rPr>
              <w:t>cost-benefit of different approaches.</w:t>
            </w:r>
          </w:p>
        </w:tc>
      </w:tr>
    </w:tbl>
    <w:p w14:paraId="5CD03CEA" w14:textId="0BB169E3" w:rsidR="003F2E89" w:rsidRDefault="003F2E89">
      <w:pPr>
        <w:spacing w:before="100" w:after="100"/>
        <w:jc w:val="both"/>
        <w:rPr>
          <w:rFonts w:ascii="Times New Roman" w:eastAsia="Times New Roman" w:hAnsi="Times New Roman"/>
          <w:b/>
          <w:bCs/>
          <w:kern w:val="0"/>
          <w:sz w:val="24"/>
          <w:szCs w:val="24"/>
          <w:lang w:eastAsia="en-IN"/>
        </w:rPr>
      </w:pPr>
    </w:p>
    <w:p w14:paraId="7B043E41" w14:textId="77777777" w:rsidR="00C60F17" w:rsidRPr="00E4197D" w:rsidRDefault="00C60F17" w:rsidP="00E4197D">
      <w:pPr>
        <w:spacing w:before="100" w:after="100"/>
        <w:jc w:val="both"/>
        <w:rPr>
          <w:rFonts w:ascii="Times New Roman" w:eastAsia="Times New Roman" w:hAnsi="Times New Roman"/>
          <w:kern w:val="0"/>
          <w:sz w:val="24"/>
          <w:szCs w:val="24"/>
          <w:lang w:eastAsia="en-IN"/>
        </w:rPr>
      </w:pPr>
    </w:p>
    <w:p w14:paraId="651B4599" w14:textId="4EF44122" w:rsidR="00A71F4D" w:rsidRPr="009A584D" w:rsidRDefault="003F2E89">
      <w:pPr>
        <w:spacing w:before="100" w:after="100"/>
        <w:jc w:val="both"/>
        <w:rPr>
          <w:rFonts w:ascii="Times New Roman" w:eastAsia="Times New Roman" w:hAnsi="Times New Roman"/>
          <w:b/>
          <w:bCs/>
          <w:kern w:val="0"/>
          <w:sz w:val="24"/>
          <w:szCs w:val="24"/>
          <w:lang w:eastAsia="en-IN"/>
        </w:rPr>
      </w:pPr>
      <w:r w:rsidRPr="009A584D">
        <w:rPr>
          <w:rFonts w:ascii="Times New Roman" w:eastAsia="Times New Roman" w:hAnsi="Times New Roman"/>
          <w:b/>
          <w:bCs/>
          <w:kern w:val="0"/>
          <w:sz w:val="24"/>
          <w:szCs w:val="24"/>
          <w:lang w:eastAsia="en-IN"/>
        </w:rPr>
        <w:t>Publication</w:t>
      </w:r>
    </w:p>
    <w:p w14:paraId="6249DA98" w14:textId="3ED6B52B" w:rsidR="00A71F4D" w:rsidRDefault="003F2E89">
      <w:pPr>
        <w:pStyle w:val="ListParagraph"/>
        <w:numPr>
          <w:ilvl w:val="0"/>
          <w:numId w:val="7"/>
        </w:num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Results may be anonymised for publication.</w:t>
      </w:r>
    </w:p>
    <w:p w14:paraId="4653D528" w14:textId="77777777" w:rsidR="00A71F4D" w:rsidRDefault="003F2E89">
      <w:pPr>
        <w:pStyle w:val="ListParagraph"/>
        <w:numPr>
          <w:ilvl w:val="0"/>
          <w:numId w:val="7"/>
        </w:numPr>
        <w:spacing w:before="100" w:after="100"/>
        <w:jc w:val="both"/>
      </w:pPr>
      <w:r>
        <w:rPr>
          <w:rFonts w:ascii="Times New Roman" w:eastAsia="Times New Roman" w:hAnsi="Times New Roman"/>
          <w:kern w:val="0"/>
          <w:sz w:val="24"/>
          <w:szCs w:val="24"/>
          <w:lang w:val="en-GB" w:eastAsia="en-IN"/>
        </w:rPr>
        <w:t xml:space="preserve">Need common agreement on levels of sharing of </w:t>
      </w:r>
      <w:proofErr w:type="spellStart"/>
      <w:r>
        <w:rPr>
          <w:rFonts w:ascii="Times New Roman" w:eastAsia="Times New Roman" w:hAnsi="Times New Roman"/>
          <w:kern w:val="0"/>
          <w:sz w:val="24"/>
          <w:szCs w:val="24"/>
          <w:lang w:val="en-GB" w:eastAsia="en-IN"/>
        </w:rPr>
        <w:t>data+algorithms</w:t>
      </w:r>
      <w:proofErr w:type="spellEnd"/>
      <w:r>
        <w:rPr>
          <w:rFonts w:ascii="Times New Roman" w:eastAsia="Times New Roman" w:hAnsi="Times New Roman"/>
          <w:kern w:val="0"/>
          <w:sz w:val="24"/>
          <w:szCs w:val="24"/>
          <w:lang w:val="en-GB" w:eastAsia="en-IN"/>
        </w:rPr>
        <w:t xml:space="preserve"> (and implications for authorship)</w:t>
      </w:r>
    </w:p>
    <w:p w14:paraId="19253481" w14:textId="77777777" w:rsidR="00A71F4D" w:rsidRDefault="003F2E89">
      <w:pPr>
        <w:spacing w:after="0"/>
        <w:jc w:val="both"/>
      </w:pPr>
      <w:r>
        <w:rPr>
          <w:rFonts w:ascii="Times New Roman" w:eastAsia="Times New Roman" w:hAnsi="Times New Roman"/>
          <w:noProof/>
          <w:kern w:val="0"/>
          <w:sz w:val="24"/>
          <w:szCs w:val="24"/>
          <w:lang w:eastAsia="en-IN"/>
        </w:rPr>
        <mc:AlternateContent>
          <mc:Choice Requires="wps">
            <w:drawing>
              <wp:inline distT="0" distB="0" distL="0" distR="0" wp14:anchorId="06012F7C" wp14:editId="7687492A">
                <wp:extent cx="41614728" cy="1271"/>
                <wp:effectExtent l="0" t="0" r="28572" b="36829"/>
                <wp:docPr id="1423626556" name="Horizontal Line 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55AA21B" id="Horizontal Line 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35BEB97" w14:textId="77777777" w:rsidR="00A71F4D" w:rsidRDefault="003F2E89">
      <w:pPr>
        <w:spacing w:before="100" w:after="100"/>
        <w:jc w:val="both"/>
        <w:outlineLvl w:val="3"/>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Appendices</w:t>
      </w:r>
    </w:p>
    <w:p w14:paraId="3869D892" w14:textId="77777777" w:rsidR="00A71F4D" w:rsidRDefault="003F2E89">
      <w:pPr>
        <w:spacing w:before="100" w:after="100"/>
        <w:jc w:val="both"/>
      </w:pPr>
      <w:r>
        <w:rPr>
          <w:rFonts w:ascii="Times New Roman" w:eastAsia="Times New Roman" w:hAnsi="Times New Roman"/>
          <w:b/>
          <w:bCs/>
          <w:kern w:val="0"/>
          <w:sz w:val="24"/>
          <w:szCs w:val="24"/>
          <w:lang w:eastAsia="en-IN"/>
        </w:rPr>
        <w:t>Table of verification data</w:t>
      </w:r>
    </w:p>
    <w:tbl>
      <w:tblPr>
        <w:tblW w:w="9026" w:type="dxa"/>
        <w:tblCellMar>
          <w:left w:w="10" w:type="dxa"/>
          <w:right w:w="10" w:type="dxa"/>
        </w:tblCellMar>
        <w:tblLook w:val="04A0" w:firstRow="1" w:lastRow="0" w:firstColumn="1" w:lastColumn="0" w:noHBand="0" w:noVBand="1"/>
      </w:tblPr>
      <w:tblGrid>
        <w:gridCol w:w="1436"/>
        <w:gridCol w:w="1156"/>
        <w:gridCol w:w="1057"/>
        <w:gridCol w:w="2555"/>
        <w:gridCol w:w="1137"/>
        <w:gridCol w:w="1685"/>
      </w:tblGrid>
      <w:tr w:rsidR="00A71F4D" w14:paraId="19E1D52A" w14:textId="77777777">
        <w:trPr>
          <w:tblHeader/>
        </w:trPr>
        <w:tc>
          <w:tcPr>
            <w:tcW w:w="1436" w:type="dxa"/>
            <w:tcBorders>
              <w:bottom w:val="single" w:sz="4" w:space="0" w:color="000000"/>
            </w:tcBorders>
            <w:shd w:val="clear" w:color="auto" w:fill="auto"/>
            <w:tcMar>
              <w:top w:w="15" w:type="dxa"/>
              <w:left w:w="15" w:type="dxa"/>
              <w:bottom w:w="15" w:type="dxa"/>
              <w:right w:w="15" w:type="dxa"/>
            </w:tcMar>
            <w:vAlign w:val="center"/>
          </w:tcPr>
          <w:p w14:paraId="4FA63546" w14:textId="77777777" w:rsidR="00A71F4D" w:rsidRDefault="003F2E89">
            <w:pPr>
              <w:spacing w:after="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Organisation</w:t>
            </w:r>
          </w:p>
        </w:tc>
        <w:tc>
          <w:tcPr>
            <w:tcW w:w="1156" w:type="dxa"/>
            <w:tcBorders>
              <w:bottom w:val="single" w:sz="4" w:space="0" w:color="000000"/>
            </w:tcBorders>
            <w:shd w:val="clear" w:color="auto" w:fill="auto"/>
            <w:tcMar>
              <w:top w:w="15" w:type="dxa"/>
              <w:left w:w="15" w:type="dxa"/>
              <w:bottom w:w="15" w:type="dxa"/>
              <w:right w:w="15" w:type="dxa"/>
            </w:tcMar>
            <w:vAlign w:val="center"/>
          </w:tcPr>
          <w:p w14:paraId="3656AF46"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Product</w:t>
            </w:r>
          </w:p>
        </w:tc>
        <w:tc>
          <w:tcPr>
            <w:tcW w:w="1057" w:type="dxa"/>
            <w:tcBorders>
              <w:bottom w:val="single" w:sz="4" w:space="0" w:color="000000"/>
            </w:tcBorders>
            <w:shd w:val="clear" w:color="auto" w:fill="auto"/>
            <w:tcMar>
              <w:top w:w="15" w:type="dxa"/>
              <w:left w:w="15" w:type="dxa"/>
              <w:bottom w:w="15" w:type="dxa"/>
              <w:right w:w="15" w:type="dxa"/>
            </w:tcMar>
            <w:vAlign w:val="center"/>
          </w:tcPr>
          <w:p w14:paraId="368ED909"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Source data</w:t>
            </w:r>
          </w:p>
        </w:tc>
        <w:tc>
          <w:tcPr>
            <w:tcW w:w="2555" w:type="dxa"/>
            <w:tcBorders>
              <w:bottom w:val="single" w:sz="4" w:space="0" w:color="000000"/>
            </w:tcBorders>
            <w:shd w:val="clear" w:color="auto" w:fill="auto"/>
            <w:tcMar>
              <w:top w:w="15" w:type="dxa"/>
              <w:left w:w="15" w:type="dxa"/>
              <w:bottom w:w="15" w:type="dxa"/>
              <w:right w:w="15" w:type="dxa"/>
            </w:tcMar>
            <w:vAlign w:val="center"/>
          </w:tcPr>
          <w:p w14:paraId="2129087C"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Resolution (Temporal/Spatial)</w:t>
            </w:r>
          </w:p>
        </w:tc>
        <w:tc>
          <w:tcPr>
            <w:tcW w:w="1137" w:type="dxa"/>
            <w:tcBorders>
              <w:bottom w:val="single" w:sz="4" w:space="0" w:color="000000"/>
            </w:tcBorders>
            <w:shd w:val="clear" w:color="auto" w:fill="auto"/>
            <w:tcMar>
              <w:top w:w="15" w:type="dxa"/>
              <w:left w:w="15" w:type="dxa"/>
              <w:bottom w:w="15" w:type="dxa"/>
              <w:right w:w="15" w:type="dxa"/>
            </w:tcMar>
            <w:vAlign w:val="center"/>
          </w:tcPr>
          <w:p w14:paraId="3E374B33"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Target region</w:t>
            </w:r>
          </w:p>
        </w:tc>
        <w:tc>
          <w:tcPr>
            <w:tcW w:w="1685" w:type="dxa"/>
            <w:tcBorders>
              <w:bottom w:val="single" w:sz="4" w:space="0" w:color="000000"/>
            </w:tcBorders>
            <w:shd w:val="clear" w:color="auto" w:fill="auto"/>
            <w:tcMar>
              <w:top w:w="15" w:type="dxa"/>
              <w:left w:w="15" w:type="dxa"/>
              <w:bottom w:w="15" w:type="dxa"/>
              <w:right w:w="15" w:type="dxa"/>
            </w:tcMar>
            <w:vAlign w:val="center"/>
          </w:tcPr>
          <w:p w14:paraId="6A4CA84F"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Validation dataset</w:t>
            </w:r>
          </w:p>
        </w:tc>
      </w:tr>
      <w:tr w:rsidR="00A71F4D" w14:paraId="01CAEF5B" w14:textId="77777777">
        <w:tc>
          <w:tcPr>
            <w:tcW w:w="1436"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07BB6668"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ZMD</w:t>
            </w:r>
          </w:p>
        </w:tc>
        <w:tc>
          <w:tcPr>
            <w:tcW w:w="1156"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3B545576"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Rainfall</w:t>
            </w:r>
          </w:p>
        </w:tc>
        <w:tc>
          <w:tcPr>
            <w:tcW w:w="1057"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2D5F53C1"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AWS data</w:t>
            </w:r>
          </w:p>
        </w:tc>
        <w:tc>
          <w:tcPr>
            <w:tcW w:w="2555"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3D1CDC52" w14:textId="77777777" w:rsidR="00A71F4D" w:rsidRDefault="003F2E89">
            <w:pPr>
              <w:spacing w:after="0"/>
              <w:jc w:val="both"/>
            </w:pPr>
            <w:r>
              <w:rPr>
                <w:rFonts w:ascii="Times New Roman" w:eastAsia="Times New Roman" w:hAnsi="Times New Roman"/>
                <w:kern w:val="0"/>
                <w:sz w:val="24"/>
                <w:szCs w:val="24"/>
                <w:lang w:eastAsia="en-IN"/>
              </w:rPr>
              <w:t>15 min / 0.1</w:t>
            </w:r>
            <w:r>
              <w:rPr>
                <w:rFonts w:ascii="Times New Roman" w:eastAsia="Times New Roman" w:hAnsi="Times New Roman"/>
                <w:kern w:val="0"/>
                <w:sz w:val="24"/>
                <w:szCs w:val="24"/>
                <w:vertAlign w:val="superscript"/>
                <w:lang w:eastAsia="en-IN"/>
              </w:rPr>
              <w:t>o</w:t>
            </w:r>
          </w:p>
        </w:tc>
        <w:tc>
          <w:tcPr>
            <w:tcW w:w="1137"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173CFB07"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Zambia</w:t>
            </w:r>
          </w:p>
        </w:tc>
        <w:tc>
          <w:tcPr>
            <w:tcW w:w="1685"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1976E8BA"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ZMD AWS data</w:t>
            </w:r>
          </w:p>
        </w:tc>
      </w:tr>
      <w:tr w:rsidR="00A71F4D" w14:paraId="61ED97B9" w14:textId="77777777">
        <w:tc>
          <w:tcPr>
            <w:tcW w:w="1436"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614D29FB"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SAWS</w:t>
            </w:r>
          </w:p>
        </w:tc>
        <w:tc>
          <w:tcPr>
            <w:tcW w:w="1156"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68507DAA"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Rainfall</w:t>
            </w:r>
          </w:p>
        </w:tc>
        <w:tc>
          <w:tcPr>
            <w:tcW w:w="1057"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72F1E0C9"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AWS &amp; radar</w:t>
            </w:r>
          </w:p>
        </w:tc>
        <w:tc>
          <w:tcPr>
            <w:tcW w:w="2555"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44496CCA" w14:textId="77777777" w:rsidR="00A71F4D" w:rsidRDefault="003F2E89">
            <w:pPr>
              <w:spacing w:after="0"/>
              <w:jc w:val="both"/>
            </w:pPr>
            <w:r>
              <w:rPr>
                <w:rFonts w:ascii="Times New Roman" w:eastAsia="Times New Roman" w:hAnsi="Times New Roman"/>
                <w:kern w:val="0"/>
                <w:sz w:val="24"/>
                <w:szCs w:val="24"/>
                <w:lang w:eastAsia="en-IN"/>
              </w:rPr>
              <w:t>15 min / 0.1</w:t>
            </w:r>
            <w:r>
              <w:rPr>
                <w:rFonts w:ascii="Times New Roman" w:eastAsia="Times New Roman" w:hAnsi="Times New Roman"/>
                <w:kern w:val="0"/>
                <w:sz w:val="24"/>
                <w:szCs w:val="24"/>
                <w:vertAlign w:val="superscript"/>
                <w:lang w:eastAsia="en-IN"/>
              </w:rPr>
              <w:t>o</w:t>
            </w:r>
          </w:p>
        </w:tc>
        <w:tc>
          <w:tcPr>
            <w:tcW w:w="1137"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4FDF5F44"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South Africa</w:t>
            </w:r>
          </w:p>
        </w:tc>
        <w:tc>
          <w:tcPr>
            <w:tcW w:w="1685"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4756A465"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SAWS AWS and radar</w:t>
            </w:r>
          </w:p>
        </w:tc>
      </w:tr>
    </w:tbl>
    <w:p w14:paraId="72E276A9" w14:textId="77777777" w:rsidR="00A71F4D" w:rsidRDefault="00A71F4D">
      <w:pPr>
        <w:spacing w:before="100" w:after="100"/>
        <w:jc w:val="both"/>
        <w:outlineLvl w:val="3"/>
        <w:rPr>
          <w:rFonts w:ascii="Times New Roman" w:eastAsia="Times New Roman" w:hAnsi="Times New Roman"/>
          <w:b/>
          <w:bCs/>
          <w:kern w:val="0"/>
          <w:sz w:val="24"/>
          <w:szCs w:val="24"/>
          <w:lang w:eastAsia="en-IN"/>
        </w:rPr>
      </w:pPr>
    </w:p>
    <w:p w14:paraId="74EF2528" w14:textId="77777777" w:rsidR="00A71F4D" w:rsidRDefault="003F2E89">
      <w:pPr>
        <w:spacing w:before="100" w:after="100"/>
        <w:jc w:val="both"/>
      </w:pPr>
      <w:r>
        <w:rPr>
          <w:rFonts w:ascii="Times New Roman" w:eastAsia="Times New Roman" w:hAnsi="Times New Roman"/>
          <w:b/>
          <w:bCs/>
          <w:kern w:val="0"/>
          <w:sz w:val="24"/>
          <w:szCs w:val="24"/>
          <w:lang w:eastAsia="en-IN"/>
        </w:rPr>
        <w:t>Table of products from contributing organisations (to be filled by each organisation)</w:t>
      </w:r>
    </w:p>
    <w:tbl>
      <w:tblPr>
        <w:tblW w:w="9026" w:type="dxa"/>
        <w:jc w:val="center"/>
        <w:tblCellMar>
          <w:left w:w="10" w:type="dxa"/>
          <w:right w:w="10" w:type="dxa"/>
        </w:tblCellMar>
        <w:tblLook w:val="04A0" w:firstRow="1" w:lastRow="0" w:firstColumn="1" w:lastColumn="0" w:noHBand="0" w:noVBand="1"/>
      </w:tblPr>
      <w:tblGrid>
        <w:gridCol w:w="1424"/>
        <w:gridCol w:w="2404"/>
        <w:gridCol w:w="850"/>
        <w:gridCol w:w="2126"/>
        <w:gridCol w:w="851"/>
        <w:gridCol w:w="1371"/>
      </w:tblGrid>
      <w:tr w:rsidR="00A71F4D" w14:paraId="26AE57DC" w14:textId="77777777">
        <w:trPr>
          <w:tblHeader/>
          <w:jc w:val="center"/>
        </w:trPr>
        <w:tc>
          <w:tcPr>
            <w:tcW w:w="1424" w:type="dxa"/>
            <w:tcBorders>
              <w:bottom w:val="single" w:sz="4" w:space="0" w:color="000000"/>
            </w:tcBorders>
            <w:shd w:val="clear" w:color="auto" w:fill="auto"/>
            <w:tcMar>
              <w:top w:w="15" w:type="dxa"/>
              <w:left w:w="15" w:type="dxa"/>
              <w:bottom w:w="15" w:type="dxa"/>
              <w:right w:w="15" w:type="dxa"/>
            </w:tcMar>
            <w:vAlign w:val="center"/>
          </w:tcPr>
          <w:p w14:paraId="157161CD" w14:textId="77777777" w:rsidR="00A71F4D" w:rsidRDefault="003F2E89">
            <w:pPr>
              <w:spacing w:after="0"/>
              <w:jc w:val="both"/>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Organisation</w:t>
            </w:r>
          </w:p>
        </w:tc>
        <w:tc>
          <w:tcPr>
            <w:tcW w:w="2404" w:type="dxa"/>
            <w:tcBorders>
              <w:bottom w:val="single" w:sz="4" w:space="0" w:color="000000"/>
            </w:tcBorders>
            <w:shd w:val="clear" w:color="auto" w:fill="auto"/>
            <w:tcMar>
              <w:top w:w="15" w:type="dxa"/>
              <w:left w:w="15" w:type="dxa"/>
              <w:bottom w:w="15" w:type="dxa"/>
              <w:right w:w="15" w:type="dxa"/>
            </w:tcMar>
            <w:vAlign w:val="center"/>
          </w:tcPr>
          <w:p w14:paraId="39C1A919"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 xml:space="preserve">Product type </w:t>
            </w:r>
            <w:proofErr w:type="gramStart"/>
            <w:r>
              <w:rPr>
                <w:rFonts w:ascii="Times New Roman" w:eastAsia="Times New Roman" w:hAnsi="Times New Roman"/>
                <w:b/>
                <w:bCs/>
                <w:kern w:val="0"/>
                <w:sz w:val="24"/>
                <w:szCs w:val="24"/>
                <w:lang w:eastAsia="en-IN"/>
              </w:rPr>
              <w:t>( Time</w:t>
            </w:r>
            <w:proofErr w:type="gramEnd"/>
            <w:r>
              <w:rPr>
                <w:rFonts w:ascii="Times New Roman" w:eastAsia="Times New Roman" w:hAnsi="Times New Roman"/>
                <w:b/>
                <w:bCs/>
                <w:kern w:val="0"/>
                <w:sz w:val="24"/>
                <w:szCs w:val="24"/>
                <w:lang w:eastAsia="en-IN"/>
              </w:rPr>
              <w:t xml:space="preserve"> series/gridded)</w:t>
            </w:r>
          </w:p>
        </w:tc>
        <w:tc>
          <w:tcPr>
            <w:tcW w:w="850" w:type="dxa"/>
            <w:tcBorders>
              <w:bottom w:val="single" w:sz="4" w:space="0" w:color="000000"/>
            </w:tcBorders>
            <w:shd w:val="clear" w:color="auto" w:fill="auto"/>
            <w:tcMar>
              <w:top w:w="15" w:type="dxa"/>
              <w:left w:w="15" w:type="dxa"/>
              <w:bottom w:w="15" w:type="dxa"/>
              <w:right w:w="15" w:type="dxa"/>
            </w:tcMar>
            <w:vAlign w:val="center"/>
          </w:tcPr>
          <w:p w14:paraId="558103B1"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Source Data</w:t>
            </w:r>
          </w:p>
        </w:tc>
        <w:tc>
          <w:tcPr>
            <w:tcW w:w="2126" w:type="dxa"/>
            <w:tcBorders>
              <w:bottom w:val="single" w:sz="4" w:space="0" w:color="000000"/>
            </w:tcBorders>
            <w:shd w:val="clear" w:color="auto" w:fill="auto"/>
            <w:tcMar>
              <w:top w:w="15" w:type="dxa"/>
              <w:left w:w="15" w:type="dxa"/>
              <w:bottom w:w="15" w:type="dxa"/>
              <w:right w:w="15" w:type="dxa"/>
            </w:tcMar>
            <w:vAlign w:val="center"/>
          </w:tcPr>
          <w:p w14:paraId="51776E73"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Resolution (Temporal/Spatial)</w:t>
            </w:r>
          </w:p>
        </w:tc>
        <w:tc>
          <w:tcPr>
            <w:tcW w:w="851" w:type="dxa"/>
            <w:tcBorders>
              <w:bottom w:val="single" w:sz="4" w:space="0" w:color="000000"/>
            </w:tcBorders>
            <w:shd w:val="clear" w:color="auto" w:fill="auto"/>
            <w:tcMar>
              <w:top w:w="15" w:type="dxa"/>
              <w:left w:w="15" w:type="dxa"/>
              <w:bottom w:w="15" w:type="dxa"/>
              <w:right w:w="15" w:type="dxa"/>
            </w:tcMar>
            <w:vAlign w:val="center"/>
          </w:tcPr>
          <w:p w14:paraId="6DD500C0"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Target Region</w:t>
            </w:r>
          </w:p>
        </w:tc>
        <w:tc>
          <w:tcPr>
            <w:tcW w:w="1371" w:type="dxa"/>
            <w:tcBorders>
              <w:bottom w:val="single" w:sz="4" w:space="0" w:color="000000"/>
            </w:tcBorders>
            <w:shd w:val="clear" w:color="auto" w:fill="auto"/>
            <w:tcMar>
              <w:top w:w="15" w:type="dxa"/>
              <w:left w:w="15" w:type="dxa"/>
              <w:bottom w:w="15" w:type="dxa"/>
              <w:right w:w="15" w:type="dxa"/>
            </w:tcMar>
            <w:vAlign w:val="center"/>
          </w:tcPr>
          <w:p w14:paraId="1F8AB0D3" w14:textId="77777777" w:rsidR="00A71F4D" w:rsidRDefault="003F2E89">
            <w:pPr>
              <w:spacing w:after="0"/>
              <w:jc w:val="center"/>
              <w:rPr>
                <w:rFonts w:ascii="Times New Roman" w:eastAsia="Times New Roman" w:hAnsi="Times New Roman"/>
                <w:b/>
                <w:bCs/>
                <w:kern w:val="0"/>
                <w:sz w:val="24"/>
                <w:szCs w:val="24"/>
                <w:lang w:eastAsia="en-IN"/>
              </w:rPr>
            </w:pPr>
            <w:r>
              <w:rPr>
                <w:rFonts w:ascii="Times New Roman" w:eastAsia="Times New Roman" w:hAnsi="Times New Roman"/>
                <w:b/>
                <w:bCs/>
                <w:kern w:val="0"/>
                <w:sz w:val="24"/>
                <w:szCs w:val="24"/>
                <w:lang w:eastAsia="en-IN"/>
              </w:rPr>
              <w:t>Validation Dataset</w:t>
            </w:r>
          </w:p>
        </w:tc>
      </w:tr>
      <w:tr w:rsidR="00A71F4D" w14:paraId="2DE5ACE4" w14:textId="77777777">
        <w:trPr>
          <w:jc w:val="center"/>
        </w:trPr>
        <w:tc>
          <w:tcPr>
            <w:tcW w:w="1424"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096D5829"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2404"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42DBCA14"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850"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04E4290D"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2126"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40078BA6" w14:textId="77777777" w:rsidR="00A71F4D" w:rsidRDefault="003F2E89">
            <w:pPr>
              <w:spacing w:after="0"/>
              <w:jc w:val="both"/>
            </w:pPr>
            <w:r>
              <w:t>-</w:t>
            </w:r>
          </w:p>
        </w:tc>
        <w:tc>
          <w:tcPr>
            <w:tcW w:w="851"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7C85346B"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1371"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1D38FA43"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r>
      <w:tr w:rsidR="00A71F4D" w14:paraId="1A6E4E89" w14:textId="77777777">
        <w:trPr>
          <w:jc w:val="center"/>
        </w:trPr>
        <w:tc>
          <w:tcPr>
            <w:tcW w:w="1424"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5F26646B"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2404"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5EE7428C"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850"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68F0E15A"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2126"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7C023A7E"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851"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7C8AFD30"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c>
          <w:tcPr>
            <w:tcW w:w="1371" w:type="dxa"/>
            <w:tcBorders>
              <w:top w:val="single" w:sz="4" w:space="0" w:color="000000"/>
              <w:bottom w:val="single" w:sz="4" w:space="0" w:color="000000"/>
            </w:tcBorders>
            <w:shd w:val="clear" w:color="auto" w:fill="auto"/>
            <w:tcMar>
              <w:top w:w="15" w:type="dxa"/>
              <w:left w:w="15" w:type="dxa"/>
              <w:bottom w:w="15" w:type="dxa"/>
              <w:right w:w="15" w:type="dxa"/>
            </w:tcMar>
            <w:vAlign w:val="center"/>
          </w:tcPr>
          <w:p w14:paraId="7B201FBB" w14:textId="77777777" w:rsidR="00A71F4D" w:rsidRDefault="003F2E89">
            <w:pPr>
              <w:spacing w:after="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tc>
      </w:tr>
    </w:tbl>
    <w:p w14:paraId="14C78C27" w14:textId="77777777" w:rsidR="00A71F4D" w:rsidRDefault="003F2E89">
      <w:p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This detailed plan ensures comprehensive intercomparison and evaluation of nowcasting products, supporting advancements in severe weather prediction and early warning systems across Southern Africa.</w:t>
      </w:r>
    </w:p>
    <w:p w14:paraId="4658785A" w14:textId="5C4F1D62" w:rsidR="00A71F4D" w:rsidRDefault="00CD6DAD">
      <w:pPr>
        <w:spacing w:before="100" w:after="100"/>
        <w:jc w:val="both"/>
        <w:rPr>
          <w:rFonts w:ascii="Times New Roman" w:eastAsia="Times New Roman" w:hAnsi="Times New Roman"/>
          <w:kern w:val="0"/>
          <w:sz w:val="24"/>
          <w:szCs w:val="24"/>
          <w:lang w:eastAsia="en-IN"/>
        </w:rPr>
      </w:pPr>
      <w:r>
        <w:rPr>
          <w:rFonts w:ascii="Times New Roman" w:eastAsia="Times New Roman" w:hAnsi="Times New Roman"/>
          <w:kern w:val="0"/>
          <w:sz w:val="24"/>
          <w:szCs w:val="24"/>
          <w:lang w:eastAsia="en-IN"/>
        </w:rPr>
        <w:t>----------------------------------------------------------------------------------------------------------------</w:t>
      </w:r>
    </w:p>
    <w:p w14:paraId="05E53341" w14:textId="77777777" w:rsidR="008754E1" w:rsidRPr="00FA6B13" w:rsidRDefault="008754E1" w:rsidP="008754E1">
      <w:pPr>
        <w:pStyle w:val="ListParagraph"/>
        <w:ind w:left="786"/>
        <w:jc w:val="both"/>
        <w:rPr>
          <w:rFonts w:ascii="Times New Roman" w:eastAsia="Times New Roman" w:hAnsi="Times New Roman"/>
          <w:kern w:val="0"/>
          <w:sz w:val="24"/>
          <w:szCs w:val="24"/>
          <w:lang w:eastAsia="en-IN"/>
        </w:rPr>
      </w:pPr>
    </w:p>
    <w:sectPr w:rsidR="008754E1" w:rsidRPr="00FA6B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D6C4" w14:textId="77777777" w:rsidR="00560E44" w:rsidRDefault="00560E44">
      <w:pPr>
        <w:spacing w:after="0"/>
      </w:pPr>
      <w:r>
        <w:separator/>
      </w:r>
    </w:p>
  </w:endnote>
  <w:endnote w:type="continuationSeparator" w:id="0">
    <w:p w14:paraId="616A2843" w14:textId="77777777" w:rsidR="00560E44" w:rsidRDefault="00560E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8A1B" w14:textId="77777777" w:rsidR="00560E44" w:rsidRDefault="00560E44">
      <w:pPr>
        <w:spacing w:after="0"/>
      </w:pPr>
      <w:r>
        <w:rPr>
          <w:color w:val="000000"/>
        </w:rPr>
        <w:separator/>
      </w:r>
    </w:p>
  </w:footnote>
  <w:footnote w:type="continuationSeparator" w:id="0">
    <w:p w14:paraId="37037B39" w14:textId="77777777" w:rsidR="00560E44" w:rsidRDefault="00560E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022C1"/>
    <w:multiLevelType w:val="multilevel"/>
    <w:tmpl w:val="E8DA8894"/>
    <w:lvl w:ilvl="0">
      <w:start w:val="1"/>
      <w:numFmt w:val="decimal"/>
      <w:lvlText w:val="%1."/>
      <w:lvlJc w:val="left"/>
      <w:pPr>
        <w:ind w:left="720" w:hanging="360"/>
      </w:pPr>
    </w:lvl>
    <w:lvl w:ilvl="1">
      <w:start w:val="1"/>
      <w:numFmt w:val="decimal"/>
      <w:lvlText w:val="%2."/>
      <w:lvlJc w:val="left"/>
      <w:pPr>
        <w:ind w:left="786" w:hanging="360"/>
      </w:pPr>
    </w:lvl>
    <w:lvl w:ilvl="2">
      <w:start w:val="1"/>
      <w:numFmt w:val="decimal"/>
      <w:lvlText w:val="%3."/>
      <w:lvlJc w:val="left"/>
      <w:pPr>
        <w:ind w:left="786"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EC10806"/>
    <w:multiLevelType w:val="hybridMultilevel"/>
    <w:tmpl w:val="0D04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D51F2"/>
    <w:multiLevelType w:val="multilevel"/>
    <w:tmpl w:val="E5F6AD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CF565BB"/>
    <w:multiLevelType w:val="multilevel"/>
    <w:tmpl w:val="027CB37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71419A"/>
    <w:multiLevelType w:val="hybridMultilevel"/>
    <w:tmpl w:val="E6AA8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41189"/>
    <w:multiLevelType w:val="hybridMultilevel"/>
    <w:tmpl w:val="2A58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447AC"/>
    <w:multiLevelType w:val="hybridMultilevel"/>
    <w:tmpl w:val="53BE3592"/>
    <w:lvl w:ilvl="0" w:tplc="95AC56A6">
      <w:start w:val="1"/>
      <w:numFmt w:val="decimal"/>
      <w:lvlText w:val="%1."/>
      <w:lvlJc w:val="left"/>
      <w:pPr>
        <w:ind w:left="1020" w:hanging="360"/>
      </w:pPr>
    </w:lvl>
    <w:lvl w:ilvl="1" w:tplc="A246D5BE">
      <w:start w:val="1"/>
      <w:numFmt w:val="decimal"/>
      <w:lvlText w:val="%2."/>
      <w:lvlJc w:val="left"/>
      <w:pPr>
        <w:ind w:left="1020" w:hanging="360"/>
      </w:pPr>
    </w:lvl>
    <w:lvl w:ilvl="2" w:tplc="7912474C">
      <w:start w:val="1"/>
      <w:numFmt w:val="decimal"/>
      <w:lvlText w:val="%3."/>
      <w:lvlJc w:val="left"/>
      <w:pPr>
        <w:ind w:left="1020" w:hanging="360"/>
      </w:pPr>
    </w:lvl>
    <w:lvl w:ilvl="3" w:tplc="B686D514">
      <w:start w:val="1"/>
      <w:numFmt w:val="decimal"/>
      <w:lvlText w:val="%4."/>
      <w:lvlJc w:val="left"/>
      <w:pPr>
        <w:ind w:left="1020" w:hanging="360"/>
      </w:pPr>
    </w:lvl>
    <w:lvl w:ilvl="4" w:tplc="F0C8D81A">
      <w:start w:val="1"/>
      <w:numFmt w:val="decimal"/>
      <w:lvlText w:val="%5."/>
      <w:lvlJc w:val="left"/>
      <w:pPr>
        <w:ind w:left="1020" w:hanging="360"/>
      </w:pPr>
    </w:lvl>
    <w:lvl w:ilvl="5" w:tplc="F85EE592">
      <w:start w:val="1"/>
      <w:numFmt w:val="decimal"/>
      <w:lvlText w:val="%6."/>
      <w:lvlJc w:val="left"/>
      <w:pPr>
        <w:ind w:left="1020" w:hanging="360"/>
      </w:pPr>
    </w:lvl>
    <w:lvl w:ilvl="6" w:tplc="CD306476">
      <w:start w:val="1"/>
      <w:numFmt w:val="decimal"/>
      <w:lvlText w:val="%7."/>
      <w:lvlJc w:val="left"/>
      <w:pPr>
        <w:ind w:left="1020" w:hanging="360"/>
      </w:pPr>
    </w:lvl>
    <w:lvl w:ilvl="7" w:tplc="817AC10C">
      <w:start w:val="1"/>
      <w:numFmt w:val="decimal"/>
      <w:lvlText w:val="%8."/>
      <w:lvlJc w:val="left"/>
      <w:pPr>
        <w:ind w:left="1020" w:hanging="360"/>
      </w:pPr>
    </w:lvl>
    <w:lvl w:ilvl="8" w:tplc="91B2065E">
      <w:start w:val="1"/>
      <w:numFmt w:val="decimal"/>
      <w:lvlText w:val="%9."/>
      <w:lvlJc w:val="left"/>
      <w:pPr>
        <w:ind w:left="1020" w:hanging="360"/>
      </w:pPr>
    </w:lvl>
  </w:abstractNum>
  <w:abstractNum w:abstractNumId="7" w15:restartNumberingAfterBreak="0">
    <w:nsid w:val="5653638B"/>
    <w:multiLevelType w:val="hybridMultilevel"/>
    <w:tmpl w:val="18F016CA"/>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8" w15:restartNumberingAfterBreak="0">
    <w:nsid w:val="5F9F149F"/>
    <w:multiLevelType w:val="multilevel"/>
    <w:tmpl w:val="A3CC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37265C8"/>
    <w:multiLevelType w:val="hybridMultilevel"/>
    <w:tmpl w:val="DF66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A5C40"/>
    <w:multiLevelType w:val="multilevel"/>
    <w:tmpl w:val="748A6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BEA37E3"/>
    <w:multiLevelType w:val="multilevel"/>
    <w:tmpl w:val="8526A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F7A791D"/>
    <w:multiLevelType w:val="multilevel"/>
    <w:tmpl w:val="54BE83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44357087">
    <w:abstractNumId w:val="8"/>
  </w:num>
  <w:num w:numId="2" w16cid:durableId="245530218">
    <w:abstractNumId w:val="3"/>
  </w:num>
  <w:num w:numId="3" w16cid:durableId="2038698223">
    <w:abstractNumId w:val="2"/>
  </w:num>
  <w:num w:numId="4" w16cid:durableId="545527539">
    <w:abstractNumId w:val="12"/>
  </w:num>
  <w:num w:numId="5" w16cid:durableId="503207170">
    <w:abstractNumId w:val="0"/>
  </w:num>
  <w:num w:numId="6" w16cid:durableId="1111051668">
    <w:abstractNumId w:val="10"/>
  </w:num>
  <w:num w:numId="7" w16cid:durableId="1215853285">
    <w:abstractNumId w:val="11"/>
  </w:num>
  <w:num w:numId="8" w16cid:durableId="1229070363">
    <w:abstractNumId w:val="6"/>
  </w:num>
  <w:num w:numId="9" w16cid:durableId="1389258390">
    <w:abstractNumId w:val="7"/>
  </w:num>
  <w:num w:numId="10" w16cid:durableId="1487237033">
    <w:abstractNumId w:val="9"/>
  </w:num>
  <w:num w:numId="11" w16cid:durableId="2099597454">
    <w:abstractNumId w:val="1"/>
  </w:num>
  <w:num w:numId="12" w16cid:durableId="543522668">
    <w:abstractNumId w:val="4"/>
  </w:num>
  <w:num w:numId="13" w16cid:durableId="1999920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2NjI0NrW0MLI0MzRR0lEKTi0uzszPAykwrQUAQ5hDmywAAAA="/>
  </w:docVars>
  <w:rsids>
    <w:rsidRoot w:val="00A71F4D"/>
    <w:rsid w:val="00001C8A"/>
    <w:rsid w:val="000031F1"/>
    <w:rsid w:val="00003B8A"/>
    <w:rsid w:val="00084782"/>
    <w:rsid w:val="000B7E5E"/>
    <w:rsid w:val="00136406"/>
    <w:rsid w:val="00147432"/>
    <w:rsid w:val="001722BD"/>
    <w:rsid w:val="001B2C1A"/>
    <w:rsid w:val="001F5399"/>
    <w:rsid w:val="00225063"/>
    <w:rsid w:val="0026506D"/>
    <w:rsid w:val="00301D16"/>
    <w:rsid w:val="003163B9"/>
    <w:rsid w:val="003317C9"/>
    <w:rsid w:val="003F2E89"/>
    <w:rsid w:val="0051082E"/>
    <w:rsid w:val="00512BE5"/>
    <w:rsid w:val="00532FA0"/>
    <w:rsid w:val="00560E44"/>
    <w:rsid w:val="0058451E"/>
    <w:rsid w:val="005D4844"/>
    <w:rsid w:val="00626304"/>
    <w:rsid w:val="00663DB0"/>
    <w:rsid w:val="0067541B"/>
    <w:rsid w:val="00695EEB"/>
    <w:rsid w:val="007A593A"/>
    <w:rsid w:val="007F77F1"/>
    <w:rsid w:val="00806AEB"/>
    <w:rsid w:val="00831544"/>
    <w:rsid w:val="008754E1"/>
    <w:rsid w:val="008967D0"/>
    <w:rsid w:val="008A3CB8"/>
    <w:rsid w:val="00944C8C"/>
    <w:rsid w:val="00983F2A"/>
    <w:rsid w:val="009A584D"/>
    <w:rsid w:val="009D2D0C"/>
    <w:rsid w:val="00A1150A"/>
    <w:rsid w:val="00A71F4D"/>
    <w:rsid w:val="00B45CD1"/>
    <w:rsid w:val="00BA56F5"/>
    <w:rsid w:val="00BB5240"/>
    <w:rsid w:val="00BC2D24"/>
    <w:rsid w:val="00C56509"/>
    <w:rsid w:val="00C60F17"/>
    <w:rsid w:val="00CD6DAD"/>
    <w:rsid w:val="00CF77AA"/>
    <w:rsid w:val="00D45BC3"/>
    <w:rsid w:val="00D83B98"/>
    <w:rsid w:val="00DC3E5C"/>
    <w:rsid w:val="00E227F5"/>
    <w:rsid w:val="00E4197D"/>
    <w:rsid w:val="00E542AA"/>
    <w:rsid w:val="00E5698E"/>
    <w:rsid w:val="00E8764D"/>
    <w:rsid w:val="00ED2D4D"/>
    <w:rsid w:val="00EF678C"/>
    <w:rsid w:val="00F258E9"/>
    <w:rsid w:val="00F358F0"/>
    <w:rsid w:val="00FA6B13"/>
    <w:rsid w:val="00FB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88E5"/>
  <w15:docId w15:val="{C981D1E9-6D7D-48E1-A6D7-FC061996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IN"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uiPriority w:val="9"/>
    <w:semiHidden/>
    <w:unhideWhenUsed/>
    <w:qFormat/>
    <w:pPr>
      <w:spacing w:before="100" w:after="100"/>
      <w:outlineLvl w:val="2"/>
    </w:pPr>
    <w:rPr>
      <w:rFonts w:ascii="Times New Roman" w:eastAsia="Times New Roman" w:hAnsi="Times New Roman"/>
      <w:b/>
      <w:bCs/>
      <w:kern w:val="0"/>
      <w:sz w:val="27"/>
      <w:szCs w:val="27"/>
      <w:lang w:eastAsia="en-IN"/>
    </w:rPr>
  </w:style>
  <w:style w:type="paragraph" w:styleId="Heading4">
    <w:name w:val="heading 4"/>
    <w:basedOn w:val="Normal"/>
    <w:uiPriority w:val="9"/>
    <w:semiHidden/>
    <w:unhideWhenUsed/>
    <w:qFormat/>
    <w:pPr>
      <w:spacing w:before="100" w:after="100"/>
      <w:outlineLvl w:val="3"/>
    </w:pPr>
    <w:rPr>
      <w:rFonts w:ascii="Times New Roman" w:eastAsia="Times New Roman" w:hAnsi="Times New Roman"/>
      <w:b/>
      <w:bCs/>
      <w:kern w:val="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Times New Roman" w:eastAsia="Times New Roman" w:hAnsi="Times New Roman" w:cs="Times New Roman"/>
      <w:b/>
      <w:bCs/>
      <w:kern w:val="0"/>
      <w:sz w:val="27"/>
      <w:szCs w:val="27"/>
      <w:lang w:eastAsia="en-IN"/>
    </w:rPr>
  </w:style>
  <w:style w:type="character" w:customStyle="1" w:styleId="Heading4Char">
    <w:name w:val="Heading 4 Char"/>
    <w:basedOn w:val="DefaultParagraphFont"/>
    <w:rPr>
      <w:rFonts w:ascii="Times New Roman" w:eastAsia="Times New Roman" w:hAnsi="Times New Roman" w:cs="Times New Roman"/>
      <w:b/>
      <w:bCs/>
      <w:kern w:val="0"/>
      <w:sz w:val="24"/>
      <w:szCs w:val="24"/>
      <w:lang w:eastAsia="en-IN"/>
    </w:rPr>
  </w:style>
  <w:style w:type="paragraph" w:styleId="NormalWeb">
    <w:name w:val="Normal (Web)"/>
    <w:basedOn w:val="Normal"/>
    <w:pPr>
      <w:spacing w:before="100" w:after="100"/>
    </w:pPr>
    <w:rPr>
      <w:rFonts w:ascii="Times New Roman" w:eastAsia="Times New Roman" w:hAnsi="Times New Roman"/>
      <w:kern w:val="0"/>
      <w:sz w:val="24"/>
      <w:szCs w:val="24"/>
      <w:lang w:eastAsia="en-IN"/>
    </w:rPr>
  </w:style>
  <w:style w:type="character" w:styleId="Strong">
    <w:name w:val="Strong"/>
    <w:basedOn w:val="DefaultParagraphFont"/>
    <w:rPr>
      <w:b/>
      <w:bCs/>
    </w:rPr>
  </w:style>
  <w:style w:type="paragraph" w:styleId="ListParagraph">
    <w:name w:val="List Paragraph"/>
    <w:basedOn w:val="Normal"/>
    <w:pPr>
      <w:ind w:left="720"/>
    </w:pPr>
  </w:style>
  <w:style w:type="paragraph" w:styleId="Revision">
    <w:name w:val="Revision"/>
    <w:pPr>
      <w:spacing w:after="0"/>
      <w:textAlignment w:val="auto"/>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table" w:styleId="TableGrid">
    <w:name w:val="Table Grid"/>
    <w:basedOn w:val="TableNormal"/>
    <w:uiPriority w:val="39"/>
    <w:rsid w:val="003F2E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8876">
      <w:bodyDiv w:val="1"/>
      <w:marLeft w:val="0"/>
      <w:marRight w:val="0"/>
      <w:marTop w:val="0"/>
      <w:marBottom w:val="0"/>
      <w:divBdr>
        <w:top w:val="none" w:sz="0" w:space="0" w:color="auto"/>
        <w:left w:val="none" w:sz="0" w:space="0" w:color="auto"/>
        <w:bottom w:val="none" w:sz="0" w:space="0" w:color="auto"/>
        <w:right w:val="none" w:sz="0" w:space="0" w:color="auto"/>
      </w:divBdr>
    </w:div>
    <w:div w:id="1047529741">
      <w:bodyDiv w:val="1"/>
      <w:marLeft w:val="0"/>
      <w:marRight w:val="0"/>
      <w:marTop w:val="0"/>
      <w:marBottom w:val="0"/>
      <w:divBdr>
        <w:top w:val="none" w:sz="0" w:space="0" w:color="auto"/>
        <w:left w:val="none" w:sz="0" w:space="0" w:color="auto"/>
        <w:bottom w:val="none" w:sz="0" w:space="0" w:color="auto"/>
        <w:right w:val="none" w:sz="0" w:space="0" w:color="auto"/>
      </w:divBdr>
      <w:divsChild>
        <w:div w:id="841316214">
          <w:marLeft w:val="0"/>
          <w:marRight w:val="0"/>
          <w:marTop w:val="0"/>
          <w:marBottom w:val="0"/>
          <w:divBdr>
            <w:top w:val="none" w:sz="0" w:space="0" w:color="auto"/>
            <w:left w:val="none" w:sz="0" w:space="0" w:color="auto"/>
            <w:bottom w:val="none" w:sz="0" w:space="0" w:color="auto"/>
            <w:right w:val="none" w:sz="0" w:space="0" w:color="auto"/>
          </w:divBdr>
        </w:div>
        <w:div w:id="49620435">
          <w:marLeft w:val="0"/>
          <w:marRight w:val="0"/>
          <w:marTop w:val="0"/>
          <w:marBottom w:val="0"/>
          <w:divBdr>
            <w:top w:val="none" w:sz="0" w:space="0" w:color="auto"/>
            <w:left w:val="none" w:sz="0" w:space="0" w:color="auto"/>
            <w:bottom w:val="none" w:sz="0" w:space="0" w:color="auto"/>
            <w:right w:val="none" w:sz="0" w:space="0" w:color="auto"/>
          </w:divBdr>
        </w:div>
        <w:div w:id="734863231">
          <w:marLeft w:val="0"/>
          <w:marRight w:val="0"/>
          <w:marTop w:val="0"/>
          <w:marBottom w:val="0"/>
          <w:divBdr>
            <w:top w:val="none" w:sz="0" w:space="0" w:color="auto"/>
            <w:left w:val="none" w:sz="0" w:space="0" w:color="auto"/>
            <w:bottom w:val="none" w:sz="0" w:space="0" w:color="auto"/>
            <w:right w:val="none" w:sz="0" w:space="0" w:color="auto"/>
          </w:divBdr>
        </w:div>
        <w:div w:id="1263757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1351</TotalTime>
  <Pages>5</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 SINGH</dc:creator>
  <dc:description/>
  <cp:lastModifiedBy>ABHILASH SINGH</cp:lastModifiedBy>
  <cp:revision>45</cp:revision>
  <dcterms:created xsi:type="dcterms:W3CDTF">2025-02-27T10:31:00Z</dcterms:created>
  <dcterms:modified xsi:type="dcterms:W3CDTF">2025-03-03T15:29:00Z</dcterms:modified>
</cp:coreProperties>
</file>